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702B" w14:textId="77777777" w:rsidR="00334893" w:rsidRPr="00334893" w:rsidRDefault="00334893" w:rsidP="00334893">
      <w:pPr>
        <w:pStyle w:val="NoSpacing"/>
        <w:jc w:val="both"/>
        <w:rPr>
          <w:rFonts w:ascii="Times New Roman" w:hAnsi="Times New Roman" w:cs="Times New Roman"/>
          <w:sz w:val="24"/>
          <w:szCs w:val="24"/>
          <w:lang w:val="pt-BR"/>
        </w:rPr>
      </w:pPr>
      <w:bookmarkStart w:id="0" w:name="_Hlk182221525"/>
      <w:r w:rsidRPr="00334893">
        <w:rPr>
          <w:rFonts w:ascii="Times New Roman" w:hAnsi="Times New Roman" w:cs="Times New Roman"/>
          <w:sz w:val="24"/>
          <w:szCs w:val="24"/>
          <w:lang w:val="pt-BR"/>
        </w:rPr>
        <w:t>ROMANIA</w:t>
      </w:r>
    </w:p>
    <w:p w14:paraId="211822CD" w14:textId="77777777" w:rsidR="00334893" w:rsidRPr="00334893" w:rsidRDefault="00334893" w:rsidP="00334893">
      <w:pPr>
        <w:pStyle w:val="NoSpacing"/>
        <w:jc w:val="both"/>
        <w:rPr>
          <w:rFonts w:ascii="Times New Roman" w:hAnsi="Times New Roman" w:cs="Times New Roman"/>
          <w:sz w:val="24"/>
          <w:szCs w:val="24"/>
          <w:lang w:val="pt-BR"/>
        </w:rPr>
      </w:pPr>
      <w:r w:rsidRPr="00334893">
        <w:rPr>
          <w:rFonts w:ascii="Times New Roman" w:hAnsi="Times New Roman" w:cs="Times New Roman"/>
          <w:sz w:val="24"/>
          <w:szCs w:val="24"/>
          <w:lang w:val="pt-BR"/>
        </w:rPr>
        <w:t>JUDEŢUL MUREŞ</w:t>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t xml:space="preserve">                               Vizat,</w:t>
      </w:r>
    </w:p>
    <w:p w14:paraId="35FBCBA5" w14:textId="77777777" w:rsidR="00334893" w:rsidRPr="00334893" w:rsidRDefault="00334893" w:rsidP="00334893">
      <w:pPr>
        <w:pStyle w:val="NoSpacing"/>
        <w:jc w:val="both"/>
        <w:rPr>
          <w:rFonts w:ascii="Times New Roman" w:hAnsi="Times New Roman" w:cs="Times New Roman"/>
          <w:sz w:val="24"/>
          <w:szCs w:val="24"/>
          <w:lang w:val="pt-BR"/>
        </w:rPr>
      </w:pPr>
      <w:r w:rsidRPr="00334893">
        <w:rPr>
          <w:rFonts w:ascii="Times New Roman" w:hAnsi="Times New Roman" w:cs="Times New Roman"/>
          <w:sz w:val="24"/>
          <w:szCs w:val="24"/>
          <w:lang w:val="pt-BR"/>
        </w:rPr>
        <w:t xml:space="preserve">COMUNA ACĂȚARI </w:t>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t xml:space="preserve">                                   Secretar general</w:t>
      </w:r>
    </w:p>
    <w:p w14:paraId="17C04320" w14:textId="77777777" w:rsidR="00334893" w:rsidRPr="00334893" w:rsidRDefault="00334893" w:rsidP="00334893">
      <w:pPr>
        <w:pStyle w:val="NoSpacing"/>
        <w:jc w:val="both"/>
        <w:rPr>
          <w:rFonts w:ascii="Times New Roman" w:hAnsi="Times New Roman" w:cs="Times New Roman"/>
          <w:sz w:val="24"/>
          <w:szCs w:val="24"/>
          <w:lang w:val="pt-BR"/>
        </w:rPr>
      </w:pPr>
      <w:r w:rsidRPr="00334893">
        <w:rPr>
          <w:rFonts w:ascii="Times New Roman" w:hAnsi="Times New Roman" w:cs="Times New Roman"/>
          <w:sz w:val="24"/>
          <w:szCs w:val="24"/>
          <w:lang w:val="pt-BR"/>
        </w:rPr>
        <w:t>PRIMAR</w:t>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r>
      <w:r w:rsidRPr="00334893">
        <w:rPr>
          <w:rFonts w:ascii="Times New Roman" w:hAnsi="Times New Roman" w:cs="Times New Roman"/>
          <w:sz w:val="24"/>
          <w:szCs w:val="24"/>
          <w:lang w:val="pt-BR"/>
        </w:rPr>
        <w:tab/>
        <w:t xml:space="preserve">                                    Fogolyan Andras</w:t>
      </w:r>
    </w:p>
    <w:p w14:paraId="45DBCF5B" w14:textId="77777777" w:rsidR="00334893" w:rsidRPr="00334893" w:rsidRDefault="00334893" w:rsidP="00334893">
      <w:pPr>
        <w:pStyle w:val="NoSpacing"/>
        <w:jc w:val="both"/>
        <w:rPr>
          <w:rFonts w:ascii="Times New Roman" w:hAnsi="Times New Roman" w:cs="Times New Roman"/>
          <w:sz w:val="24"/>
          <w:szCs w:val="24"/>
        </w:rPr>
      </w:pPr>
    </w:p>
    <w:p w14:paraId="1CAEC0C2" w14:textId="77777777" w:rsidR="00334893" w:rsidRPr="00334893" w:rsidRDefault="00334893" w:rsidP="00334893">
      <w:pPr>
        <w:pStyle w:val="NoSpacing"/>
        <w:jc w:val="center"/>
        <w:rPr>
          <w:rFonts w:ascii="Times New Roman" w:hAnsi="Times New Roman" w:cs="Times New Roman"/>
          <w:sz w:val="24"/>
          <w:szCs w:val="24"/>
        </w:rPr>
      </w:pPr>
    </w:p>
    <w:p w14:paraId="77259F20" w14:textId="77777777" w:rsidR="00334893" w:rsidRPr="00334893" w:rsidRDefault="00334893" w:rsidP="00334893">
      <w:pPr>
        <w:pStyle w:val="NoSpacing"/>
        <w:jc w:val="center"/>
        <w:rPr>
          <w:rFonts w:ascii="Times New Roman" w:hAnsi="Times New Roman" w:cs="Times New Roman"/>
          <w:b/>
          <w:bCs/>
          <w:sz w:val="24"/>
          <w:szCs w:val="24"/>
          <w:u w:val="single"/>
          <w:lang w:val="pt-BR"/>
        </w:rPr>
      </w:pPr>
      <w:r w:rsidRPr="00334893">
        <w:rPr>
          <w:rFonts w:ascii="Times New Roman" w:hAnsi="Times New Roman" w:cs="Times New Roman"/>
          <w:b/>
          <w:bCs/>
          <w:sz w:val="24"/>
          <w:szCs w:val="24"/>
          <w:u w:val="single"/>
          <w:lang w:val="pt-BR"/>
        </w:rPr>
        <w:t>PROIECT DE HOTĂRÂRE</w:t>
      </w:r>
      <w:bookmarkEnd w:id="0"/>
    </w:p>
    <w:p w14:paraId="795687DB" w14:textId="77777777" w:rsidR="00334893" w:rsidRPr="00334893" w:rsidRDefault="00334893" w:rsidP="00334893">
      <w:pPr>
        <w:pStyle w:val="NoSpacing"/>
        <w:jc w:val="center"/>
        <w:rPr>
          <w:rFonts w:ascii="Times New Roman" w:hAnsi="Times New Roman" w:cs="Times New Roman"/>
          <w:b/>
          <w:sz w:val="24"/>
          <w:szCs w:val="24"/>
          <w:u w:val="single"/>
        </w:rPr>
      </w:pPr>
      <w:r w:rsidRPr="00334893">
        <w:rPr>
          <w:rFonts w:ascii="Times New Roman" w:hAnsi="Times New Roman" w:cs="Times New Roman"/>
          <w:b/>
          <w:sz w:val="24"/>
          <w:szCs w:val="24"/>
          <w:u w:val="single"/>
        </w:rPr>
        <w:t>privind aprobarea lucrării „Eficientizarea și modernizarea sistemului de iluminat public în Comuna Acățari, Județul Mureș” – Proiect nr. 2135/2026 – faza DTAC</w:t>
      </w:r>
    </w:p>
    <w:p w14:paraId="07A6D8DE" w14:textId="77777777" w:rsidR="00334893" w:rsidRPr="00334893" w:rsidRDefault="00334893" w:rsidP="00334893">
      <w:pPr>
        <w:pStyle w:val="NoSpacing"/>
        <w:jc w:val="center"/>
        <w:rPr>
          <w:rFonts w:ascii="Times New Roman" w:hAnsi="Times New Roman" w:cs="Times New Roman"/>
          <w:sz w:val="24"/>
          <w:szCs w:val="24"/>
        </w:rPr>
      </w:pPr>
    </w:p>
    <w:p w14:paraId="26DA7D50"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ab/>
        <w:t>Primarul comunei Acățari,</w:t>
      </w:r>
    </w:p>
    <w:p w14:paraId="2706368A" w14:textId="77777777" w:rsidR="00334893" w:rsidRPr="00334893" w:rsidRDefault="00334893" w:rsidP="00334893">
      <w:pPr>
        <w:pStyle w:val="NoSpacing"/>
        <w:jc w:val="both"/>
        <w:rPr>
          <w:rFonts w:ascii="Times New Roman" w:hAnsi="Times New Roman" w:cs="Times New Roman"/>
          <w:b/>
          <w:sz w:val="24"/>
          <w:szCs w:val="24"/>
        </w:rPr>
      </w:pPr>
      <w:r w:rsidRPr="00334893">
        <w:rPr>
          <w:rFonts w:ascii="Times New Roman" w:hAnsi="Times New Roman" w:cs="Times New Roman"/>
          <w:b/>
          <w:sz w:val="24"/>
          <w:szCs w:val="24"/>
        </w:rPr>
        <w:t>Având în vedere temeiurile juridice, respectiv prevederile:</w:t>
      </w:r>
    </w:p>
    <w:p w14:paraId="346702C2"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art. 120 și art. 121 alin. (1) și (2) din Constituția României, republicată;</w:t>
      </w:r>
    </w:p>
    <w:p w14:paraId="6EE18FE9"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art. 8 și 9 din Carta europeană a autonomiei locale, adoptată la Strasbourg la 15 octombrie 1985, ratificată prin Legea nr. 199/1997;</w:t>
      </w:r>
    </w:p>
    <w:p w14:paraId="5E5AC9C4"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 xml:space="preserve">art. 7 alin. (2) și art. 1166 și următoarele din Legea nr. 287/2009 privind Codul civil, </w:t>
      </w:r>
    </w:p>
    <w:p w14:paraId="5BFB423D"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republicată, cu modificările ulterioare, referitoare la contracte sau convenții;</w:t>
      </w:r>
    </w:p>
    <w:p w14:paraId="5128F66D"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art. 20 și 21 din Legea cadru a descentralizării nr. 195/2006;</w:t>
      </w:r>
    </w:p>
    <w:p w14:paraId="2B828C64"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 xml:space="preserve">art. 129 alin. (2) din </w:t>
      </w:r>
      <w:bookmarkStart w:id="1" w:name="_Hlk69736526"/>
      <w:r w:rsidRPr="00334893">
        <w:rPr>
          <w:rFonts w:ascii="Times New Roman" w:hAnsi="Times New Roman" w:cs="Times New Roman"/>
          <w:sz w:val="24"/>
          <w:szCs w:val="24"/>
        </w:rPr>
        <w:t xml:space="preserve">OUG 57/2019 privind Codul Administrativ, cu modificările și </w:t>
      </w:r>
    </w:p>
    <w:p w14:paraId="4A50952B"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completările ulterioare</w:t>
      </w:r>
      <w:bookmarkEnd w:id="1"/>
      <w:r w:rsidRPr="00334893">
        <w:rPr>
          <w:rFonts w:ascii="Times New Roman" w:hAnsi="Times New Roman" w:cs="Times New Roman"/>
          <w:sz w:val="24"/>
          <w:szCs w:val="24"/>
        </w:rPr>
        <w:t xml:space="preserve">; </w:t>
      </w:r>
    </w:p>
    <w:p w14:paraId="10777F58"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 xml:space="preserve">Legea nr. 273/2006 privind finanțele publice locale, cu modificările și completările </w:t>
      </w:r>
    </w:p>
    <w:p w14:paraId="535D1BF3"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ulterioare;</w:t>
      </w:r>
    </w:p>
    <w:p w14:paraId="36060FF8"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Prevederile art. 13 lit. i) din Anexa la Ordinul ministrului mediului, apelor și pădurilor nr. 2490/2024 pentru modificarea Ghidului de finanţare a Programului privind creşterea eficienţei energetice a infrastructurii de iluminat public, aprobat prin Ordinul ministrului mediului, apelor și pădurilor nr. 1.866/2021;</w:t>
      </w:r>
    </w:p>
    <w:p w14:paraId="219F7D01"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 xml:space="preserve">luând în considerare prevederile Hotărârii Guvernului nr. 907/2016 privind aprobarea Structurii devizului general şi a Metodologiei privind elaborarea devizului general pentru obiective de investiţii şi lucrări de intervenţii, </w:t>
      </w:r>
    </w:p>
    <w:p w14:paraId="7E8B5604"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 xml:space="preserve">analizând documentația tehnico-economică și devizul general estimativ pentru obiectivul de investiții </w:t>
      </w:r>
      <w:r w:rsidRPr="00334893">
        <w:rPr>
          <w:rFonts w:ascii="Times New Roman" w:hAnsi="Times New Roman" w:cs="Times New Roman"/>
          <w:b/>
          <w:i/>
          <w:iCs/>
          <w:sz w:val="24"/>
          <w:szCs w:val="24"/>
        </w:rPr>
        <w:t>„Eficientizarea și modernizarea sistemului de iluminat public în Comuna Acățari, Județul Mureș”</w:t>
      </w:r>
    </w:p>
    <w:p w14:paraId="426FE2AC" w14:textId="77777777" w:rsidR="00334893" w:rsidRPr="00334893" w:rsidRDefault="00334893" w:rsidP="00334893">
      <w:pPr>
        <w:pStyle w:val="NoSpacing"/>
        <w:jc w:val="both"/>
        <w:rPr>
          <w:rFonts w:ascii="Times New Roman" w:hAnsi="Times New Roman" w:cs="Times New Roman"/>
          <w:sz w:val="24"/>
          <w:szCs w:val="24"/>
        </w:rPr>
      </w:pPr>
      <w:bookmarkStart w:id="2" w:name="_Hlk182817131"/>
      <w:r w:rsidRPr="00334893">
        <w:rPr>
          <w:rFonts w:ascii="Times New Roman" w:hAnsi="Times New Roman" w:cs="Times New Roman"/>
          <w:sz w:val="24"/>
          <w:szCs w:val="24"/>
        </w:rPr>
        <w:t xml:space="preserve">Ținând cont de prevederile  art.7 din Legea nr. 52/2003, privind transparența decizională în administrația publică,republicată,cu modificările și completările ulterioare; </w:t>
      </w:r>
    </w:p>
    <w:bookmarkEnd w:id="2"/>
    <w:p w14:paraId="5957A6D7" w14:textId="77777777" w:rsidR="00334893" w:rsidRPr="00334893" w:rsidRDefault="00334893" w:rsidP="00334893">
      <w:pPr>
        <w:pStyle w:val="NoSpacing"/>
        <w:jc w:val="both"/>
        <w:rPr>
          <w:rFonts w:ascii="Times New Roman" w:hAnsi="Times New Roman" w:cs="Times New Roman"/>
          <w:sz w:val="24"/>
          <w:szCs w:val="24"/>
        </w:rPr>
      </w:pPr>
    </w:p>
    <w:p w14:paraId="12A87574"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ab/>
        <w:t>în temeiul prevederilor art. 139 alin. (1) și celor ale art. 196 alin. (1) lit. a) din OUG 57/2019 privind Codul Administrativ, cu modificările și completările ulterioare,</w:t>
      </w:r>
    </w:p>
    <w:p w14:paraId="63AE9378"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ab/>
      </w:r>
      <w:r w:rsidRPr="00334893">
        <w:rPr>
          <w:rFonts w:ascii="Times New Roman" w:hAnsi="Times New Roman" w:cs="Times New Roman"/>
          <w:b/>
          <w:sz w:val="24"/>
          <w:szCs w:val="24"/>
        </w:rPr>
        <w:t>luând act de</w:t>
      </w:r>
      <w:r w:rsidRPr="00334893">
        <w:rPr>
          <w:rFonts w:ascii="Times New Roman" w:hAnsi="Times New Roman" w:cs="Times New Roman"/>
          <w:sz w:val="24"/>
          <w:szCs w:val="24"/>
        </w:rPr>
        <w:t>:</w:t>
      </w:r>
    </w:p>
    <w:p w14:paraId="3B5C4281"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 xml:space="preserve">referatul de aprobare prezentat de către primarul Comunei Acățari , în calitatea sa de </w:t>
      </w:r>
    </w:p>
    <w:p w14:paraId="5D701585"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inițiator, înregistrat cu nr.7463./13 noiembrie 2024, prin care se susține necesitatea și oportunitatea proiectului, constituind un aport pentru dezvoltarea colectivității;</w:t>
      </w:r>
    </w:p>
    <w:p w14:paraId="2FF6742C"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 xml:space="preserve">raportul compartimentului de resort din cadrul aparatului de specialitate al primarului, </w:t>
      </w:r>
    </w:p>
    <w:p w14:paraId="1CD38232"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înregistrat cu nr. 7462/13 noiembrie  2024, prin care se motivează, în drept și în fapt,  necesitatea și oportunitatea participării la Program;</w:t>
      </w:r>
    </w:p>
    <w:p w14:paraId="79367334"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raportul comisiei de specialitate a Consiliului Local Acățari</w:t>
      </w:r>
    </w:p>
    <w:p w14:paraId="38EE9730" w14:textId="77777777" w:rsidR="00334893" w:rsidRPr="00334893" w:rsidRDefault="00334893" w:rsidP="00334893">
      <w:pPr>
        <w:pStyle w:val="NoSpacing"/>
        <w:jc w:val="center"/>
        <w:rPr>
          <w:rFonts w:ascii="Times New Roman" w:hAnsi="Times New Roman" w:cs="Times New Roman"/>
          <w:sz w:val="24"/>
          <w:szCs w:val="24"/>
        </w:rPr>
      </w:pPr>
    </w:p>
    <w:p w14:paraId="342AEBAC" w14:textId="77777777" w:rsidR="00334893" w:rsidRPr="00334893" w:rsidRDefault="00334893" w:rsidP="00334893">
      <w:pPr>
        <w:pStyle w:val="NoSpacing"/>
        <w:jc w:val="center"/>
        <w:rPr>
          <w:rFonts w:ascii="Times New Roman" w:hAnsi="Times New Roman" w:cs="Times New Roman"/>
          <w:bCs/>
          <w:sz w:val="24"/>
          <w:szCs w:val="24"/>
        </w:rPr>
      </w:pPr>
      <w:bookmarkStart w:id="3" w:name="tree%252374"/>
      <w:bookmarkEnd w:id="3"/>
      <w:r w:rsidRPr="00334893">
        <w:rPr>
          <w:rFonts w:ascii="Times New Roman" w:hAnsi="Times New Roman" w:cs="Times New Roman"/>
          <w:b/>
          <w:sz w:val="24"/>
          <w:szCs w:val="24"/>
        </w:rPr>
        <w:t>P r o p u n e</w:t>
      </w:r>
      <w:r w:rsidRPr="00334893">
        <w:rPr>
          <w:rFonts w:ascii="Times New Roman" w:hAnsi="Times New Roman" w:cs="Times New Roman"/>
          <w:bCs/>
          <w:sz w:val="24"/>
          <w:szCs w:val="24"/>
        </w:rPr>
        <w:t xml:space="preserve"> :</w:t>
      </w:r>
    </w:p>
    <w:p w14:paraId="6D9FFA27" w14:textId="77777777" w:rsidR="00334893" w:rsidRPr="00334893" w:rsidRDefault="00334893" w:rsidP="00334893">
      <w:pPr>
        <w:pStyle w:val="NoSpacing"/>
        <w:jc w:val="both"/>
        <w:rPr>
          <w:rFonts w:ascii="Times New Roman" w:hAnsi="Times New Roman" w:cs="Times New Roman"/>
          <w:sz w:val="24"/>
          <w:szCs w:val="24"/>
        </w:rPr>
      </w:pPr>
    </w:p>
    <w:p w14:paraId="2D4C8DC0" w14:textId="77777777" w:rsidR="00334893" w:rsidRPr="00334893" w:rsidRDefault="00334893" w:rsidP="00334893">
      <w:pPr>
        <w:pStyle w:val="NoSpacing"/>
        <w:jc w:val="both"/>
        <w:rPr>
          <w:rFonts w:ascii="Times New Roman" w:hAnsi="Times New Roman" w:cs="Times New Roman"/>
          <w:b/>
          <w:bCs/>
          <w:sz w:val="24"/>
          <w:szCs w:val="24"/>
        </w:rPr>
      </w:pPr>
      <w:r w:rsidRPr="00334893">
        <w:rPr>
          <w:rFonts w:ascii="Times New Roman" w:hAnsi="Times New Roman" w:cs="Times New Roman"/>
          <w:sz w:val="24"/>
          <w:szCs w:val="24"/>
        </w:rPr>
        <w:t xml:space="preserve">    </w:t>
      </w:r>
      <w:r w:rsidRPr="00334893">
        <w:rPr>
          <w:rFonts w:ascii="Times New Roman" w:hAnsi="Times New Roman" w:cs="Times New Roman"/>
          <w:sz w:val="24"/>
          <w:szCs w:val="24"/>
        </w:rPr>
        <w:tab/>
      </w:r>
      <w:r w:rsidRPr="00334893">
        <w:rPr>
          <w:rFonts w:ascii="Times New Roman" w:hAnsi="Times New Roman" w:cs="Times New Roman"/>
          <w:b/>
          <w:bCs/>
          <w:sz w:val="24"/>
          <w:szCs w:val="24"/>
        </w:rPr>
        <w:t xml:space="preserve">Art. 1. </w:t>
      </w:r>
      <w:r w:rsidRPr="00334893">
        <w:rPr>
          <w:rFonts w:ascii="Times New Roman" w:hAnsi="Times New Roman" w:cs="Times New Roman"/>
          <w:sz w:val="24"/>
          <w:szCs w:val="24"/>
        </w:rPr>
        <w:t xml:space="preserve">Se aprobă lucrarea </w:t>
      </w:r>
      <w:r w:rsidRPr="00334893">
        <w:rPr>
          <w:rFonts w:ascii="Times New Roman" w:hAnsi="Times New Roman" w:cs="Times New Roman"/>
          <w:b/>
          <w:bCs/>
          <w:i/>
          <w:sz w:val="24"/>
          <w:szCs w:val="24"/>
        </w:rPr>
        <w:t xml:space="preserve">„Eficientizarea și modernizarea sistemului de iluminat public în Comuna Acățari, Județul Mureș” - </w:t>
      </w:r>
      <w:r w:rsidRPr="00334893">
        <w:rPr>
          <w:rFonts w:ascii="Times New Roman" w:hAnsi="Times New Roman" w:cs="Times New Roman"/>
          <w:b/>
          <w:sz w:val="24"/>
          <w:szCs w:val="24"/>
        </w:rPr>
        <w:t>Proiect nr. 2135/2026 – faza DTAC</w:t>
      </w:r>
      <w:r w:rsidRPr="00334893">
        <w:rPr>
          <w:rFonts w:ascii="Times New Roman" w:hAnsi="Times New Roman" w:cs="Times New Roman"/>
          <w:sz w:val="24"/>
          <w:szCs w:val="24"/>
        </w:rPr>
        <w:t>.</w:t>
      </w:r>
    </w:p>
    <w:p w14:paraId="6CE6C1A9"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b/>
          <w:bCs/>
          <w:sz w:val="24"/>
          <w:szCs w:val="24"/>
        </w:rPr>
        <w:lastRenderedPageBreak/>
        <w:t xml:space="preserve">Art. 2. </w:t>
      </w:r>
      <w:r w:rsidRPr="00334893">
        <w:rPr>
          <w:rFonts w:ascii="Times New Roman" w:hAnsi="Times New Roman" w:cs="Times New Roman"/>
          <w:sz w:val="24"/>
          <w:szCs w:val="24"/>
        </w:rPr>
        <w:t xml:space="preserve">Se aprobă documentaţia proiectului Nr. 2135/2026 </w:t>
      </w:r>
      <w:r w:rsidRPr="00334893">
        <w:rPr>
          <w:rFonts w:ascii="Times New Roman" w:hAnsi="Times New Roman" w:cs="Times New Roman"/>
          <w:b/>
          <w:bCs/>
          <w:i/>
          <w:sz w:val="24"/>
          <w:szCs w:val="24"/>
        </w:rPr>
        <w:t xml:space="preserve">„Eficientizarea și modernizarea sistemului de iluminat public în Comuna Acățari, Județul Mureș” - </w:t>
      </w:r>
      <w:r w:rsidRPr="00334893">
        <w:rPr>
          <w:rFonts w:ascii="Times New Roman" w:hAnsi="Times New Roman" w:cs="Times New Roman"/>
          <w:b/>
          <w:sz w:val="24"/>
          <w:szCs w:val="24"/>
        </w:rPr>
        <w:t>Proiect nr. 2135/2026 – faza DTAC</w:t>
      </w:r>
      <w:r w:rsidRPr="00334893">
        <w:rPr>
          <w:rFonts w:ascii="Times New Roman" w:hAnsi="Times New Roman" w:cs="Times New Roman"/>
          <w:b/>
          <w:bCs/>
          <w:i/>
          <w:sz w:val="24"/>
          <w:szCs w:val="24"/>
        </w:rPr>
        <w:t xml:space="preserve">, </w:t>
      </w:r>
      <w:r w:rsidRPr="00334893">
        <w:rPr>
          <w:rFonts w:ascii="Times New Roman" w:hAnsi="Times New Roman" w:cs="Times New Roman"/>
          <w:sz w:val="24"/>
          <w:szCs w:val="24"/>
        </w:rPr>
        <w:t>după cum urmează:</w:t>
      </w:r>
    </w:p>
    <w:p w14:paraId="6BA05219"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se vor demonta 213 bucăți aparate de iluminat existente și se vor monta 232 bucăți aparate de iluminat cu tehnologia LED ținând cont de clasa sistemului de iluminat, se va implementa un sistem de telegestiune penbtru fiecare aparat de iluminat.</w:t>
      </w:r>
    </w:p>
    <w:p w14:paraId="007A83E5"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
          <w:iCs/>
          <w:sz w:val="24"/>
          <w:szCs w:val="24"/>
        </w:rPr>
        <w:t>Soluția presupune</w:t>
      </w:r>
      <w:r w:rsidRPr="00334893">
        <w:rPr>
          <w:rFonts w:ascii="Times New Roman" w:hAnsi="Times New Roman" w:cs="Times New Roman"/>
          <w:bCs/>
          <w:iCs/>
          <w:sz w:val="24"/>
          <w:szCs w:val="24"/>
        </w:rPr>
        <w:t xml:space="preserve"> :</w:t>
      </w:r>
    </w:p>
    <w:p w14:paraId="77229093"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Cs/>
          <w:iCs/>
          <w:sz w:val="24"/>
          <w:szCs w:val="24"/>
        </w:rPr>
        <w:t>demontarea a 213 buc. aparate de iluminat existente;</w:t>
      </w:r>
    </w:p>
    <w:p w14:paraId="041153F0"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Cs/>
          <w:iCs/>
          <w:sz w:val="24"/>
          <w:szCs w:val="24"/>
        </w:rPr>
        <w:t>demonatarea a 213 buc. console existente;</w:t>
      </w:r>
    </w:p>
    <w:p w14:paraId="27CDD8DC"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Cs/>
          <w:iCs/>
          <w:sz w:val="24"/>
          <w:szCs w:val="24"/>
        </w:rPr>
        <w:t>montarea console (232 buc.);</w:t>
      </w:r>
    </w:p>
    <w:p w14:paraId="1F052C04"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Cs/>
          <w:iCs/>
          <w:sz w:val="24"/>
          <w:szCs w:val="24"/>
        </w:rPr>
        <w:t>montarea a 232 buc. aparate de iluminat cu surse LED</w:t>
      </w:r>
    </w:p>
    <w:p w14:paraId="247662DB"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
          <w:iCs/>
          <w:sz w:val="24"/>
          <w:szCs w:val="24"/>
        </w:rPr>
        <w:t>Capacități</w:t>
      </w:r>
      <w:r w:rsidRPr="00334893">
        <w:rPr>
          <w:rFonts w:ascii="Times New Roman" w:hAnsi="Times New Roman" w:cs="Times New Roman"/>
          <w:bCs/>
          <w:iCs/>
          <w:sz w:val="24"/>
          <w:szCs w:val="24"/>
        </w:rPr>
        <w:t xml:space="preserve"> :</w:t>
      </w:r>
    </w:p>
    <w:p w14:paraId="6CBB3762"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Cs/>
          <w:iCs/>
          <w:sz w:val="24"/>
          <w:szCs w:val="24"/>
        </w:rPr>
        <w:t>Corp iluminqat – AIL 1 – 105 W, 121 buc.;</w:t>
      </w:r>
    </w:p>
    <w:p w14:paraId="6548A3E9"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Cs/>
          <w:iCs/>
          <w:sz w:val="24"/>
          <w:szCs w:val="24"/>
        </w:rPr>
        <w:t>Corp iluminat – AIL 2 – 60 W, 111 buc.</w:t>
      </w:r>
    </w:p>
    <w:p w14:paraId="2EC4FE7B"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Cs/>
          <w:iCs/>
          <w:sz w:val="24"/>
          <w:szCs w:val="24"/>
        </w:rPr>
        <w:tab/>
        <w:t>Instalațiile proiectate vor fi în proprietatea și exploatarea și exploatarea Primăriei comunei Acățari.</w:t>
      </w:r>
    </w:p>
    <w:p w14:paraId="5663908B" w14:textId="77777777" w:rsidR="00334893" w:rsidRPr="00334893" w:rsidRDefault="00334893" w:rsidP="00334893">
      <w:pPr>
        <w:pStyle w:val="NoSpacing"/>
        <w:jc w:val="both"/>
        <w:rPr>
          <w:rFonts w:ascii="Times New Roman" w:hAnsi="Times New Roman" w:cs="Times New Roman"/>
          <w:bCs/>
          <w:iCs/>
          <w:sz w:val="24"/>
          <w:szCs w:val="24"/>
        </w:rPr>
      </w:pPr>
      <w:r w:rsidRPr="00334893">
        <w:rPr>
          <w:rFonts w:ascii="Times New Roman" w:hAnsi="Times New Roman" w:cs="Times New Roman"/>
          <w:b/>
          <w:iCs/>
          <w:sz w:val="24"/>
          <w:szCs w:val="24"/>
        </w:rPr>
        <w:t>Durata</w:t>
      </w:r>
      <w:r w:rsidRPr="00334893">
        <w:rPr>
          <w:rFonts w:ascii="Times New Roman" w:hAnsi="Times New Roman" w:cs="Times New Roman"/>
          <w:bCs/>
          <w:iCs/>
          <w:sz w:val="24"/>
          <w:szCs w:val="24"/>
        </w:rPr>
        <w:t xml:space="preserve"> de realizare: 6 luni.</w:t>
      </w:r>
    </w:p>
    <w:p w14:paraId="44AD18DC" w14:textId="77777777" w:rsidR="00334893" w:rsidRPr="00334893" w:rsidRDefault="00334893" w:rsidP="00334893">
      <w:pPr>
        <w:pStyle w:val="NoSpacing"/>
        <w:jc w:val="both"/>
        <w:rPr>
          <w:rFonts w:ascii="Times New Roman" w:hAnsi="Times New Roman" w:cs="Times New Roman"/>
          <w:sz w:val="24"/>
          <w:szCs w:val="24"/>
        </w:rPr>
      </w:pPr>
      <w:bookmarkStart w:id="4" w:name="ref%2523A5"/>
      <w:bookmarkEnd w:id="4"/>
      <w:r w:rsidRPr="00334893">
        <w:rPr>
          <w:rFonts w:ascii="Times New Roman" w:hAnsi="Times New Roman" w:cs="Times New Roman"/>
          <w:b/>
          <w:bCs/>
          <w:sz w:val="24"/>
          <w:szCs w:val="24"/>
        </w:rPr>
        <w:t>Art. 3. -</w:t>
      </w:r>
      <w:r w:rsidRPr="00334893">
        <w:rPr>
          <w:rFonts w:ascii="Times New Roman" w:hAnsi="Times New Roman" w:cs="Times New Roman"/>
          <w:bCs/>
          <w:sz w:val="24"/>
          <w:szCs w:val="24"/>
        </w:rPr>
        <w:t xml:space="preserve"> P</w:t>
      </w:r>
      <w:r w:rsidRPr="00334893">
        <w:rPr>
          <w:rFonts w:ascii="Times New Roman" w:hAnsi="Times New Roman" w:cs="Times New Roman"/>
          <w:sz w:val="24"/>
          <w:szCs w:val="24"/>
        </w:rPr>
        <w:t>rezenta hotărâre se comunică, prin intermediul secretarului Comunei Acățari, în termenul prevăzut de lege, primarului Comunei Acățari și Prefectului Județului Mureș și se aduce la cunoștință publică prin afișarea la sediul primăriei, precum și pe pagina de internet a comunei.</w:t>
      </w:r>
    </w:p>
    <w:p w14:paraId="3F9F8D22" w14:textId="77777777" w:rsidR="00334893" w:rsidRPr="00334893" w:rsidRDefault="00334893" w:rsidP="00334893">
      <w:pPr>
        <w:pStyle w:val="NoSpacing"/>
        <w:jc w:val="both"/>
        <w:rPr>
          <w:rFonts w:ascii="Times New Roman" w:hAnsi="Times New Roman" w:cs="Times New Roman"/>
          <w:sz w:val="24"/>
          <w:szCs w:val="24"/>
        </w:rPr>
      </w:pPr>
    </w:p>
    <w:p w14:paraId="66F629B1" w14:textId="77777777" w:rsidR="00334893" w:rsidRPr="00334893" w:rsidRDefault="00334893" w:rsidP="00334893">
      <w:pPr>
        <w:pStyle w:val="NoSpacing"/>
        <w:jc w:val="both"/>
        <w:rPr>
          <w:rFonts w:ascii="Times New Roman" w:hAnsi="Times New Roman" w:cs="Times New Roman"/>
          <w:sz w:val="24"/>
          <w:szCs w:val="24"/>
        </w:rPr>
      </w:pPr>
    </w:p>
    <w:p w14:paraId="0CAA4B10" w14:textId="77777777" w:rsidR="00334893" w:rsidRPr="00334893" w:rsidRDefault="00334893" w:rsidP="00334893">
      <w:pPr>
        <w:pStyle w:val="NoSpacing"/>
        <w:jc w:val="both"/>
        <w:rPr>
          <w:rFonts w:ascii="Times New Roman" w:hAnsi="Times New Roman" w:cs="Times New Roman"/>
          <w:sz w:val="24"/>
          <w:szCs w:val="24"/>
        </w:rPr>
      </w:pPr>
    </w:p>
    <w:p w14:paraId="7C0E5D88"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t xml:space="preserve">     Primar,</w:t>
      </w:r>
    </w:p>
    <w:p w14:paraId="4E271780" w14:textId="77777777" w:rsidR="00334893" w:rsidRPr="00334893" w:rsidRDefault="00334893" w:rsidP="00334893">
      <w:pPr>
        <w:pStyle w:val="NoSpacing"/>
        <w:jc w:val="both"/>
        <w:rPr>
          <w:rFonts w:ascii="Times New Roman" w:hAnsi="Times New Roman" w:cs="Times New Roman"/>
          <w:sz w:val="24"/>
          <w:szCs w:val="24"/>
        </w:rPr>
      </w:pP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r>
      <w:r w:rsidRPr="00334893">
        <w:rPr>
          <w:rFonts w:ascii="Times New Roman" w:hAnsi="Times New Roman" w:cs="Times New Roman"/>
          <w:sz w:val="24"/>
          <w:szCs w:val="24"/>
        </w:rPr>
        <w:tab/>
        <w:t>Osvath Csaba</w:t>
      </w:r>
    </w:p>
    <w:p w14:paraId="4CBD7552" w14:textId="77777777" w:rsidR="00334893" w:rsidRPr="00334893" w:rsidRDefault="00334893" w:rsidP="00334893">
      <w:pPr>
        <w:pStyle w:val="NoSpacing"/>
        <w:jc w:val="both"/>
        <w:rPr>
          <w:rFonts w:ascii="Times New Roman" w:hAnsi="Times New Roman" w:cs="Times New Roman"/>
          <w:sz w:val="24"/>
          <w:szCs w:val="24"/>
        </w:rPr>
      </w:pPr>
    </w:p>
    <w:p w14:paraId="1B4AB33E" w14:textId="77777777" w:rsidR="00334893" w:rsidRPr="00334893" w:rsidRDefault="00334893" w:rsidP="00334893">
      <w:pPr>
        <w:pStyle w:val="NoSpacing"/>
        <w:jc w:val="both"/>
        <w:rPr>
          <w:rFonts w:ascii="Times New Roman" w:hAnsi="Times New Roman" w:cs="Times New Roman"/>
          <w:sz w:val="24"/>
          <w:szCs w:val="24"/>
        </w:rPr>
      </w:pPr>
    </w:p>
    <w:p w14:paraId="7998D46D" w14:textId="77777777" w:rsidR="004F01DE" w:rsidRPr="00334893" w:rsidRDefault="004F01DE" w:rsidP="00334893">
      <w:pPr>
        <w:pStyle w:val="NoSpacing"/>
        <w:jc w:val="both"/>
        <w:rPr>
          <w:rFonts w:ascii="Times New Roman" w:hAnsi="Times New Roman" w:cs="Times New Roman"/>
          <w:sz w:val="24"/>
          <w:szCs w:val="24"/>
        </w:rPr>
      </w:pPr>
    </w:p>
    <w:sectPr w:rsidR="004F01DE" w:rsidRPr="00334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03FE"/>
    <w:multiLevelType w:val="hybridMultilevel"/>
    <w:tmpl w:val="E8386328"/>
    <w:lvl w:ilvl="0" w:tplc="3C6EB9A0">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74502929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93"/>
    <w:rsid w:val="001836B0"/>
    <w:rsid w:val="00334893"/>
    <w:rsid w:val="004F01DE"/>
    <w:rsid w:val="00860D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6E4B"/>
  <w15:chartTrackingRefBased/>
  <w15:docId w15:val="{ABBE91BB-F4D3-41E7-8E90-7F275A24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8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8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8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8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8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8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8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893"/>
    <w:rPr>
      <w:rFonts w:eastAsiaTheme="majorEastAsia" w:cstheme="majorBidi"/>
      <w:color w:val="272727" w:themeColor="text1" w:themeTint="D8"/>
    </w:rPr>
  </w:style>
  <w:style w:type="paragraph" w:styleId="Title">
    <w:name w:val="Title"/>
    <w:basedOn w:val="Normal"/>
    <w:next w:val="Normal"/>
    <w:link w:val="TitleChar"/>
    <w:uiPriority w:val="10"/>
    <w:qFormat/>
    <w:rsid w:val="00334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893"/>
    <w:pPr>
      <w:spacing w:before="160"/>
      <w:jc w:val="center"/>
    </w:pPr>
    <w:rPr>
      <w:i/>
      <w:iCs/>
      <w:color w:val="404040" w:themeColor="text1" w:themeTint="BF"/>
    </w:rPr>
  </w:style>
  <w:style w:type="character" w:customStyle="1" w:styleId="QuoteChar">
    <w:name w:val="Quote Char"/>
    <w:basedOn w:val="DefaultParagraphFont"/>
    <w:link w:val="Quote"/>
    <w:uiPriority w:val="29"/>
    <w:rsid w:val="00334893"/>
    <w:rPr>
      <w:i/>
      <w:iCs/>
      <w:color w:val="404040" w:themeColor="text1" w:themeTint="BF"/>
    </w:rPr>
  </w:style>
  <w:style w:type="paragraph" w:styleId="ListParagraph">
    <w:name w:val="List Paragraph"/>
    <w:basedOn w:val="Normal"/>
    <w:uiPriority w:val="34"/>
    <w:qFormat/>
    <w:rsid w:val="00334893"/>
    <w:pPr>
      <w:ind w:left="720"/>
      <w:contextualSpacing/>
    </w:pPr>
  </w:style>
  <w:style w:type="character" w:styleId="IntenseEmphasis">
    <w:name w:val="Intense Emphasis"/>
    <w:basedOn w:val="DefaultParagraphFont"/>
    <w:uiPriority w:val="21"/>
    <w:qFormat/>
    <w:rsid w:val="00334893"/>
    <w:rPr>
      <w:i/>
      <w:iCs/>
      <w:color w:val="2F5496" w:themeColor="accent1" w:themeShade="BF"/>
    </w:rPr>
  </w:style>
  <w:style w:type="paragraph" w:styleId="IntenseQuote">
    <w:name w:val="Intense Quote"/>
    <w:basedOn w:val="Normal"/>
    <w:next w:val="Normal"/>
    <w:link w:val="IntenseQuoteChar"/>
    <w:uiPriority w:val="30"/>
    <w:qFormat/>
    <w:rsid w:val="00334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893"/>
    <w:rPr>
      <w:i/>
      <w:iCs/>
      <w:color w:val="2F5496" w:themeColor="accent1" w:themeShade="BF"/>
    </w:rPr>
  </w:style>
  <w:style w:type="character" w:styleId="IntenseReference">
    <w:name w:val="Intense Reference"/>
    <w:basedOn w:val="DefaultParagraphFont"/>
    <w:uiPriority w:val="32"/>
    <w:qFormat/>
    <w:rsid w:val="00334893"/>
    <w:rPr>
      <w:b/>
      <w:bCs/>
      <w:smallCaps/>
      <w:color w:val="2F5496" w:themeColor="accent1" w:themeShade="BF"/>
      <w:spacing w:val="5"/>
    </w:rPr>
  </w:style>
  <w:style w:type="paragraph" w:styleId="NoSpacing">
    <w:name w:val="No Spacing"/>
    <w:uiPriority w:val="1"/>
    <w:qFormat/>
    <w:rsid w:val="0033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3566</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1</cp:revision>
  <dcterms:created xsi:type="dcterms:W3CDTF">2026-03-24T12:52:00Z</dcterms:created>
  <dcterms:modified xsi:type="dcterms:W3CDTF">2026-03-24T12:55:00Z</dcterms:modified>
</cp:coreProperties>
</file>