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2BB" w:rsidRPr="003F7DA0" w:rsidRDefault="00EB12BB" w:rsidP="00EB12BB">
      <w:pPr>
        <w:rPr>
          <w:sz w:val="28"/>
          <w:szCs w:val="28"/>
          <w:lang w:val="ro-RO"/>
        </w:rPr>
      </w:pPr>
      <w:r w:rsidRPr="003F7DA0">
        <w:rPr>
          <w:sz w:val="28"/>
          <w:szCs w:val="28"/>
          <w:lang w:val="ro-RO"/>
        </w:rPr>
        <w:t>ROMANIA</w:t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  <w:t xml:space="preserve">                </w:t>
      </w:r>
      <w:r w:rsidRPr="003F7DA0">
        <w:rPr>
          <w:sz w:val="28"/>
          <w:szCs w:val="28"/>
          <w:lang w:val="ro-RO"/>
        </w:rPr>
        <w:t xml:space="preserve">  VIZAT</w:t>
      </w:r>
    </w:p>
    <w:p w:rsidR="00EB12BB" w:rsidRPr="003F7DA0" w:rsidRDefault="00EB12BB" w:rsidP="00EB12BB">
      <w:pPr>
        <w:rPr>
          <w:sz w:val="28"/>
          <w:szCs w:val="28"/>
          <w:lang w:val="ro-RO"/>
        </w:rPr>
      </w:pPr>
      <w:r w:rsidRPr="003F7DA0">
        <w:rPr>
          <w:sz w:val="28"/>
          <w:szCs w:val="28"/>
          <w:lang w:val="ro-RO"/>
        </w:rPr>
        <w:t>JUDEŢUL MURE</w:t>
      </w:r>
      <w:r w:rsidR="003F7DA0">
        <w:rPr>
          <w:sz w:val="28"/>
          <w:szCs w:val="28"/>
          <w:lang w:val="ro-RO"/>
        </w:rPr>
        <w:t>Ş</w:t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</w:r>
      <w:r w:rsidR="003F7DA0">
        <w:rPr>
          <w:sz w:val="28"/>
          <w:szCs w:val="28"/>
          <w:lang w:val="ro-RO"/>
        </w:rPr>
        <w:tab/>
        <w:t xml:space="preserve">                </w:t>
      </w:r>
      <w:r w:rsidRPr="003F7DA0">
        <w:rPr>
          <w:sz w:val="28"/>
          <w:szCs w:val="28"/>
          <w:lang w:val="ro-RO"/>
        </w:rPr>
        <w:t xml:space="preserve"> Secretar,</w:t>
      </w:r>
    </w:p>
    <w:p w:rsidR="00EB12BB" w:rsidRPr="003F7DA0" w:rsidRDefault="00EB12BB" w:rsidP="00EB12BB">
      <w:pPr>
        <w:pStyle w:val="Heading1"/>
        <w:rPr>
          <w:sz w:val="28"/>
          <w:szCs w:val="28"/>
        </w:rPr>
      </w:pPr>
      <w:r w:rsidRPr="003F7DA0">
        <w:rPr>
          <w:sz w:val="28"/>
          <w:szCs w:val="28"/>
        </w:rPr>
        <w:t xml:space="preserve">COMUNA  ACĂŢARI </w:t>
      </w:r>
      <w:r w:rsidRPr="003F7DA0">
        <w:rPr>
          <w:sz w:val="28"/>
          <w:szCs w:val="28"/>
        </w:rPr>
        <w:tab/>
      </w:r>
      <w:r w:rsidRPr="003F7DA0">
        <w:rPr>
          <w:sz w:val="28"/>
          <w:szCs w:val="28"/>
        </w:rPr>
        <w:tab/>
      </w:r>
      <w:r w:rsidRPr="003F7DA0">
        <w:rPr>
          <w:sz w:val="28"/>
          <w:szCs w:val="28"/>
        </w:rPr>
        <w:tab/>
      </w:r>
      <w:r w:rsidRPr="003F7DA0">
        <w:rPr>
          <w:sz w:val="28"/>
          <w:szCs w:val="28"/>
        </w:rPr>
        <w:tab/>
      </w:r>
      <w:r w:rsidRPr="003F7DA0">
        <w:rPr>
          <w:sz w:val="28"/>
          <w:szCs w:val="28"/>
        </w:rPr>
        <w:tab/>
        <w:t xml:space="preserve">         </w:t>
      </w:r>
      <w:r w:rsidRPr="003F7DA0">
        <w:rPr>
          <w:sz w:val="28"/>
          <w:szCs w:val="28"/>
        </w:rPr>
        <w:tab/>
        <w:t xml:space="preserve">      </w:t>
      </w:r>
      <w:r w:rsidR="003F7DA0">
        <w:rPr>
          <w:sz w:val="28"/>
          <w:szCs w:val="28"/>
        </w:rPr>
        <w:t xml:space="preserve">                   </w:t>
      </w:r>
      <w:bookmarkStart w:id="0" w:name="_GoBack"/>
      <w:bookmarkEnd w:id="0"/>
      <w:r w:rsidRPr="003F7DA0">
        <w:rPr>
          <w:sz w:val="28"/>
          <w:szCs w:val="28"/>
        </w:rPr>
        <w:t>Jozsa  Ferenc</w:t>
      </w:r>
    </w:p>
    <w:p w:rsidR="00EB12BB" w:rsidRPr="003F7DA0" w:rsidRDefault="00EB12BB" w:rsidP="00EB12BB">
      <w:pPr>
        <w:pStyle w:val="Heading1"/>
        <w:rPr>
          <w:sz w:val="28"/>
          <w:szCs w:val="28"/>
        </w:rPr>
      </w:pPr>
      <w:r w:rsidRPr="003F7DA0">
        <w:rPr>
          <w:sz w:val="28"/>
          <w:szCs w:val="28"/>
        </w:rPr>
        <w:t xml:space="preserve">PRIMAR     </w:t>
      </w:r>
    </w:p>
    <w:p w:rsidR="00EB12BB" w:rsidRPr="003F7DA0" w:rsidRDefault="00EB12BB" w:rsidP="00EB12BB">
      <w:pPr>
        <w:rPr>
          <w:sz w:val="28"/>
          <w:szCs w:val="28"/>
          <w:lang w:val="ro-RO"/>
        </w:rPr>
      </w:pPr>
    </w:p>
    <w:p w:rsidR="00EB12BB" w:rsidRDefault="00EB12BB" w:rsidP="00EB12BB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:rsidR="00EB12BB" w:rsidRDefault="00EB12BB" w:rsidP="00EB12BB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 </w:t>
      </w:r>
      <w:r w:rsidR="00AA55B7">
        <w:rPr>
          <w:b/>
          <w:bCs/>
          <w:color w:val="000000"/>
          <w:sz w:val="28"/>
          <w:u w:val="single"/>
          <w:lang w:val="ro-RO"/>
        </w:rPr>
        <w:t xml:space="preserve">aprobarea rectificării bugetului </w:t>
      </w:r>
      <w:r>
        <w:rPr>
          <w:b/>
          <w:bCs/>
          <w:color w:val="000000"/>
          <w:sz w:val="28"/>
          <w:u w:val="single"/>
          <w:lang w:val="ro-RO"/>
        </w:rPr>
        <w:t>şi cheltuieli pentru anul 2021</w:t>
      </w:r>
    </w:p>
    <w:p w:rsidR="00EB12BB" w:rsidRDefault="00EB12BB" w:rsidP="00EB12BB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:rsidR="00EB12BB" w:rsidRDefault="00EB12BB" w:rsidP="00EB12BB">
      <w:pPr>
        <w:pStyle w:val="Default"/>
        <w:rPr>
          <w:sz w:val="28"/>
          <w:u w:val="single"/>
          <w:lang w:val="ro-RO"/>
        </w:rPr>
      </w:pPr>
    </w:p>
    <w:p w:rsidR="00EB12BB" w:rsidRDefault="00EB12BB" w:rsidP="00EB12BB">
      <w:pPr>
        <w:pStyle w:val="Default"/>
        <w:ind w:left="567" w:right="501"/>
        <w:rPr>
          <w:sz w:val="26"/>
          <w:szCs w:val="26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</w:t>
      </w:r>
      <w:r>
        <w:rPr>
          <w:lang w:val="ro-RO"/>
        </w:rPr>
        <w:tab/>
      </w:r>
      <w:r>
        <w:rPr>
          <w:sz w:val="26"/>
          <w:szCs w:val="26"/>
          <w:lang w:val="ro-RO"/>
        </w:rPr>
        <w:t xml:space="preserve"> Primarul comunei Acăţari,</w:t>
      </w:r>
    </w:p>
    <w:p w:rsidR="00EB12BB" w:rsidRDefault="00EB12BB" w:rsidP="00EB12BB">
      <w:pPr>
        <w:pStyle w:val="NoSpacing"/>
        <w:ind w:left="567" w:firstLine="1701"/>
        <w:jc w:val="both"/>
        <w:rPr>
          <w:sz w:val="26"/>
          <w:szCs w:val="26"/>
        </w:rPr>
      </w:pPr>
      <w:r>
        <w:rPr>
          <w:sz w:val="26"/>
          <w:szCs w:val="26"/>
        </w:rPr>
        <w:t>Văzând  referatul de aprobare  a Primaru</w:t>
      </w:r>
      <w:r w:rsidR="0082706F">
        <w:rPr>
          <w:sz w:val="26"/>
          <w:szCs w:val="26"/>
        </w:rPr>
        <w:t>lui comunei Acățari nr.6364/2021</w:t>
      </w:r>
      <w:r>
        <w:rPr>
          <w:sz w:val="26"/>
          <w:szCs w:val="26"/>
        </w:rPr>
        <w:t>, și raportul  compar</w:t>
      </w:r>
      <w:r w:rsidR="0082706F">
        <w:rPr>
          <w:sz w:val="26"/>
          <w:szCs w:val="26"/>
        </w:rPr>
        <w:t>timentului de resort  nr.6366/2021</w:t>
      </w:r>
      <w:r>
        <w:rPr>
          <w:sz w:val="26"/>
          <w:szCs w:val="26"/>
        </w:rPr>
        <w:t>,</w:t>
      </w:r>
    </w:p>
    <w:p w:rsidR="00EB12BB" w:rsidRDefault="00EB12BB" w:rsidP="00EB12BB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 prevederile art. 155, alin.(4), lit "b"  precum și  art.128, alin.(4) litera "a" din OUG nr.57/2019, privind codul administrativ;</w:t>
      </w:r>
    </w:p>
    <w:p w:rsidR="00EB12BB" w:rsidRDefault="00EB12BB" w:rsidP="00EB12BB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Conform art. 45, alin.4 si alin.7 din Legea nr. 273/2006 privind finanțele publice locale.</w:t>
      </w:r>
    </w:p>
    <w:p w:rsidR="00EB12BB" w:rsidRDefault="00EB12BB" w:rsidP="00EB12BB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Ţinând cont de prevederile Legii 15/2021 privind bugetul de stat pe anul 2021</w:t>
      </w:r>
    </w:p>
    <w:p w:rsidR="00EB12BB" w:rsidRDefault="00EB12BB" w:rsidP="00EB12BB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 Decizia AJFP Mureș cu nr. 16747 din 16.09.2021 privind sumele defalcate din venituri</w:t>
      </w:r>
    </w:p>
    <w:p w:rsidR="00EB12BB" w:rsidRDefault="00EB12BB" w:rsidP="00EB12BB">
      <w:pPr>
        <w:ind w:left="567" w:right="5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Se propune aprobare bugetului rectificat pe 2021 conform legea 273/2006 </w:t>
      </w:r>
    </w:p>
    <w:p w:rsidR="00EB12BB" w:rsidRDefault="00EB12BB" w:rsidP="00EB12BB">
      <w:pPr>
        <w:pStyle w:val="BodyTextIndent"/>
        <w:ind w:left="567" w:right="501" w:firstLine="156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Ținând cont de prevederile Legii nr.52/2003 ,privind transparența decizionalã în administrația publicã, republicatã, cu modificările și  completările ulterioare;</w:t>
      </w:r>
    </w:p>
    <w:p w:rsidR="00EB12BB" w:rsidRDefault="00EB12BB" w:rsidP="00EB12BB">
      <w:pPr>
        <w:ind w:left="567" w:firstLine="1560"/>
        <w:jc w:val="both"/>
        <w:rPr>
          <w:sz w:val="28"/>
          <w:lang w:val="ro-RO"/>
        </w:rPr>
      </w:pPr>
      <w:r>
        <w:rPr>
          <w:sz w:val="28"/>
          <w:szCs w:val="28"/>
        </w:rPr>
        <w:tab/>
      </w:r>
      <w:r>
        <w:rPr>
          <w:sz w:val="26"/>
          <w:szCs w:val="26"/>
          <w:lang w:val="ro-RO"/>
        </w:rPr>
        <w:t>În temeiul art. 129 alin. (2) lit. „b”, alin. (4) lit. „a”, art. 136 alin. (8) și art. 196 alin. (1) lit. „a” din O.U.G. nr. 57/2019 ,privind Codul Administrativ</w:t>
      </w:r>
      <w:r>
        <w:rPr>
          <w:sz w:val="26"/>
          <w:szCs w:val="26"/>
          <w:lang w:val="ro-RO"/>
        </w:rPr>
        <w:tab/>
      </w:r>
      <w:r>
        <w:rPr>
          <w:sz w:val="28"/>
          <w:lang w:val="ro-RO"/>
        </w:rPr>
        <w:tab/>
      </w:r>
    </w:p>
    <w:p w:rsidR="00EB12BB" w:rsidRDefault="00EB12BB" w:rsidP="00EB12BB">
      <w:pPr>
        <w:ind w:left="567" w:firstLine="156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</w:p>
    <w:p w:rsidR="00EB12BB" w:rsidRDefault="00EB12BB" w:rsidP="00EB12BB">
      <w:pPr>
        <w:ind w:left="720" w:firstLine="720"/>
        <w:rPr>
          <w:lang w:val="ro-RO"/>
        </w:rPr>
      </w:pPr>
      <w:r>
        <w:rPr>
          <w:lang w:val="ro-RO"/>
        </w:rPr>
        <w:t xml:space="preserve"> P r o p u n e :</w:t>
      </w:r>
    </w:p>
    <w:p w:rsidR="00EB12BB" w:rsidRDefault="00EB12BB" w:rsidP="00EB12BB">
      <w:pPr>
        <w:jc w:val="both"/>
        <w:rPr>
          <w:lang w:val="ro-RO"/>
        </w:rPr>
      </w:pPr>
    </w:p>
    <w:p w:rsidR="00EB12BB" w:rsidRDefault="00EB12BB" w:rsidP="00EB12BB">
      <w:pPr>
        <w:pStyle w:val="BodyText"/>
        <w:ind w:right="501"/>
        <w:rPr>
          <w:sz w:val="24"/>
        </w:rPr>
      </w:pPr>
      <w:r>
        <w:tab/>
      </w:r>
      <w:r>
        <w:tab/>
        <w:t>Art.1. Se aprobă Bugetul de venituri şi cheltuieli rectificat pentru anul 2021, conform anexei, care face parte integrantă din prezenta  propunere  cu următorii indicatori principali:</w:t>
      </w:r>
    </w:p>
    <w:p w:rsidR="00EB12BB" w:rsidRDefault="00EB12BB" w:rsidP="00EB12BB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                        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108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619"/>
        <w:gridCol w:w="1131"/>
        <w:gridCol w:w="1755"/>
        <w:gridCol w:w="1153"/>
        <w:gridCol w:w="1555"/>
      </w:tblGrid>
      <w:tr w:rsidR="00EB12BB" w:rsidTr="000D5900">
        <w:trPr>
          <w:trHeight w:val="8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BB" w:rsidRDefault="00EB12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2BB" w:rsidRDefault="00EB12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Program 2021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Influențe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Buget rectificat</w:t>
            </w:r>
          </w:p>
        </w:tc>
      </w:tr>
      <w:tr w:rsidR="00EB12BB" w:rsidTr="000D5900">
        <w:trPr>
          <w:trHeight w:val="50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2.779.000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2.779.000</w:t>
            </w:r>
          </w:p>
        </w:tc>
      </w:tr>
      <w:tr w:rsidR="00EB12BB" w:rsidTr="000D5900">
        <w:trPr>
          <w:trHeight w:val="50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def. Din Impozitul pe venit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1.173.000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192.000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1.365.000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926.000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76.000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1.002.000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378.000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378.000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1.292.000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1.292.000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906.000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906.000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5.2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def. Din TVA ptr. Evidenţa Populaţiei și ptr. ajutor de incalzire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66.000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66.000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5.6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def. Din TVA pentru Învăţământ – cheltuieli cu bunuri si servicii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276.000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276.000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15.000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def. Din TVA ptr. Echilibrare Buget,</w:t>
            </w:r>
          </w:p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1.576.000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1.576.000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975.000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975.000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265.000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265.000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650.000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650.000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50.000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50.000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9.114.000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+268.000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9.382.000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10.642.000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+268.000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10.910.000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8.464.000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+268.000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8.732.000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8.464.000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+268.000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8.732.000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650.000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650.000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2.178.000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2.178.000</w:t>
            </w:r>
          </w:p>
        </w:tc>
      </w:tr>
      <w:tr w:rsidR="00EB12BB" w:rsidTr="000D5900">
        <w:trPr>
          <w:trHeight w:val="5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lang w:val="ro-RO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rPr>
                <w:b/>
                <w:lang w:val="ro-RO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1.528.000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BB" w:rsidRDefault="00EB12BB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BB" w:rsidRDefault="00EB12BB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1.528.000</w:t>
            </w:r>
          </w:p>
        </w:tc>
      </w:tr>
    </w:tbl>
    <w:p w:rsidR="00EB12BB" w:rsidRDefault="00EB12BB" w:rsidP="000D5900">
      <w:pPr>
        <w:tabs>
          <w:tab w:val="left" w:pos="426"/>
          <w:tab w:val="left" w:pos="9000"/>
        </w:tabs>
        <w:ind w:right="-36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EB12BB" w:rsidRDefault="00EB12BB" w:rsidP="00EB12BB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Se aprobă - Cheltuieli Secţiunii de Funcţionare   8.732.000 lei</w:t>
      </w:r>
    </w:p>
    <w:p w:rsidR="00EB12BB" w:rsidRDefault="00EB12BB" w:rsidP="00EB12BB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2.178.000 lei</w:t>
      </w:r>
    </w:p>
    <w:p w:rsidR="00EB12BB" w:rsidRDefault="00EB12BB" w:rsidP="00EB12BB">
      <w:pPr>
        <w:ind w:firstLine="720"/>
        <w:jc w:val="both"/>
        <w:rPr>
          <w:lang w:val="ro-RO"/>
        </w:rPr>
      </w:pPr>
    </w:p>
    <w:p w:rsidR="00EB12BB" w:rsidRDefault="00EB12BB" w:rsidP="00EB12BB">
      <w:pPr>
        <w:ind w:firstLine="720"/>
        <w:jc w:val="both"/>
        <w:rPr>
          <w:sz w:val="28"/>
          <w:lang w:val="ro-RO"/>
        </w:rPr>
      </w:pPr>
    </w:p>
    <w:p w:rsidR="00EB12BB" w:rsidRDefault="00EB12BB" w:rsidP="00EB12BB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 Ordonatorul principal  şi biroul financiar contabil și resurse umane  vor duce la îndeplinire prevederile prezentului  proiect.</w:t>
      </w:r>
    </w:p>
    <w:p w:rsidR="00EB12BB" w:rsidRDefault="00EB12BB" w:rsidP="003E78ED">
      <w:pPr>
        <w:ind w:right="-63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</w:t>
      </w:r>
    </w:p>
    <w:p w:rsidR="00EB12BB" w:rsidRDefault="00EB12BB" w:rsidP="00775ED0">
      <w:pPr>
        <w:jc w:val="both"/>
        <w:rPr>
          <w:lang w:val="ro-RO"/>
        </w:rPr>
      </w:pPr>
    </w:p>
    <w:p w:rsidR="00EB12BB" w:rsidRDefault="00EB12BB" w:rsidP="00EB12BB">
      <w:pPr>
        <w:ind w:left="720" w:firstLine="720"/>
        <w:jc w:val="both"/>
        <w:rPr>
          <w:lang w:val="ro-RO"/>
        </w:rPr>
      </w:pPr>
    </w:p>
    <w:p w:rsidR="00EB12BB" w:rsidRDefault="00EB12BB" w:rsidP="00EB12BB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:rsidR="00EB12BB" w:rsidRDefault="00EB12BB" w:rsidP="00EB12BB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:rsidR="003E78ED" w:rsidRPr="003E78ED" w:rsidRDefault="003E78ED" w:rsidP="003E78ED">
      <w:pPr>
        <w:jc w:val="center"/>
        <w:rPr>
          <w:sz w:val="28"/>
          <w:szCs w:val="28"/>
          <w:u w:val="single"/>
        </w:rPr>
      </w:pPr>
      <w:r w:rsidRPr="003E78ED">
        <w:rPr>
          <w:sz w:val="28"/>
          <w:szCs w:val="28"/>
          <w:u w:val="single"/>
        </w:rPr>
        <w:lastRenderedPageBreak/>
        <w:t xml:space="preserve">ROMÂNIA, </w:t>
      </w:r>
    </w:p>
    <w:p w:rsidR="003E78ED" w:rsidRPr="003E78ED" w:rsidRDefault="003E78ED" w:rsidP="003E78ED">
      <w:pPr>
        <w:jc w:val="center"/>
        <w:rPr>
          <w:sz w:val="28"/>
          <w:szCs w:val="28"/>
          <w:u w:val="single"/>
        </w:rPr>
      </w:pPr>
      <w:r w:rsidRPr="003E78ED">
        <w:rPr>
          <w:sz w:val="28"/>
          <w:szCs w:val="28"/>
          <w:u w:val="single"/>
        </w:rPr>
        <w:t>JUDEŢUL MUREŞ</w:t>
      </w:r>
    </w:p>
    <w:p w:rsidR="003E78ED" w:rsidRPr="003E78ED" w:rsidRDefault="003E78ED" w:rsidP="003E78ED">
      <w:pPr>
        <w:pStyle w:val="Heading1"/>
        <w:ind w:left="2160" w:firstLine="720"/>
        <w:rPr>
          <w:u w:val="single"/>
        </w:rPr>
      </w:pPr>
      <w:r w:rsidRPr="003E78ED">
        <w:rPr>
          <w:u w:val="single"/>
        </w:rPr>
        <w:t>PRIMĂRIA COMUNEI ACĂŢARI</w:t>
      </w:r>
    </w:p>
    <w:p w:rsidR="003E78ED" w:rsidRPr="003E78ED" w:rsidRDefault="003E78ED" w:rsidP="003E78ED">
      <w:pPr>
        <w:pBdr>
          <w:bottom w:val="single" w:sz="12" w:space="1" w:color="auto"/>
        </w:pBdr>
        <w:jc w:val="center"/>
        <w:rPr>
          <w:sz w:val="28"/>
          <w:szCs w:val="28"/>
          <w:u w:val="single"/>
        </w:rPr>
      </w:pPr>
      <w:r w:rsidRPr="003E78ED">
        <w:rPr>
          <w:sz w:val="28"/>
          <w:szCs w:val="28"/>
          <w:u w:val="single"/>
        </w:rPr>
        <w:t>Tel/Fax: 0265 333112, 0265 333298; e-mail</w:t>
      </w:r>
      <w:r w:rsidRPr="003E78ED">
        <w:rPr>
          <w:color w:val="000000"/>
          <w:sz w:val="28"/>
          <w:szCs w:val="28"/>
          <w:u w:val="single"/>
        </w:rPr>
        <w:t xml:space="preserve">: </w:t>
      </w:r>
      <w:hyperlink r:id="rId4" w:history="1">
        <w:r w:rsidRPr="003E78ED">
          <w:rPr>
            <w:rStyle w:val="Hyperlink"/>
            <w:szCs w:val="28"/>
          </w:rPr>
          <w:t>acatari@cjmures.ro</w:t>
        </w:r>
      </w:hyperlink>
      <w:proofErr w:type="gramStart"/>
      <w:r w:rsidRPr="003E78ED">
        <w:rPr>
          <w:sz w:val="28"/>
          <w:szCs w:val="28"/>
          <w:u w:val="single"/>
        </w:rPr>
        <w:t>,  www.acatari.ro</w:t>
      </w:r>
      <w:proofErr w:type="gramEnd"/>
    </w:p>
    <w:p w:rsidR="003E78ED" w:rsidRDefault="003E78ED" w:rsidP="003E78ED">
      <w:pPr>
        <w:rPr>
          <w:sz w:val="28"/>
          <w:szCs w:val="28"/>
        </w:rPr>
      </w:pPr>
    </w:p>
    <w:p w:rsidR="0082706F" w:rsidRDefault="0082706F" w:rsidP="003E78ED">
      <w:pPr>
        <w:rPr>
          <w:sz w:val="28"/>
          <w:szCs w:val="28"/>
        </w:rPr>
      </w:pPr>
    </w:p>
    <w:p w:rsidR="003E78ED" w:rsidRPr="0082706F" w:rsidRDefault="0082706F" w:rsidP="003E78ED">
      <w:pPr>
        <w:pStyle w:val="Heading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270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Nr. 6364 / 24 </w:t>
      </w:r>
      <w:proofErr w:type="spellStart"/>
      <w:proofErr w:type="gramStart"/>
      <w:r w:rsidRPr="0082706F">
        <w:rPr>
          <w:rFonts w:ascii="Times New Roman" w:hAnsi="Times New Roman" w:cs="Times New Roman"/>
          <w:b w:val="0"/>
          <w:color w:val="auto"/>
          <w:sz w:val="28"/>
          <w:szCs w:val="28"/>
        </w:rPr>
        <w:t>septembrie</w:t>
      </w:r>
      <w:proofErr w:type="spellEnd"/>
      <w:r w:rsidRPr="008270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78ED" w:rsidRPr="0082706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2021</w:t>
      </w:r>
      <w:proofErr w:type="gramEnd"/>
    </w:p>
    <w:p w:rsidR="00793079" w:rsidRDefault="00793079"/>
    <w:p w:rsidR="00A91262" w:rsidRDefault="00A91262"/>
    <w:p w:rsidR="00A91262" w:rsidRDefault="00A91262"/>
    <w:p w:rsidR="00A91262" w:rsidRPr="003E78ED" w:rsidRDefault="00A91262" w:rsidP="00A91262">
      <w:pPr>
        <w:jc w:val="center"/>
        <w:rPr>
          <w:b/>
          <w:sz w:val="28"/>
          <w:szCs w:val="28"/>
          <w:u w:val="single"/>
          <w:lang w:val="ro-RO"/>
        </w:rPr>
      </w:pPr>
      <w:r w:rsidRPr="003E78ED">
        <w:rPr>
          <w:b/>
          <w:sz w:val="28"/>
          <w:szCs w:val="28"/>
          <w:u w:val="single"/>
          <w:lang w:val="ro-RO"/>
        </w:rPr>
        <w:t>REFERAT DE APROBARE</w:t>
      </w:r>
    </w:p>
    <w:p w:rsidR="00A91262" w:rsidRPr="003E78ED" w:rsidRDefault="00A91262" w:rsidP="00A91262">
      <w:pPr>
        <w:jc w:val="center"/>
        <w:rPr>
          <w:i/>
          <w:sz w:val="28"/>
          <w:szCs w:val="28"/>
          <w:u w:val="single"/>
          <w:lang w:val="ro-RO"/>
        </w:rPr>
      </w:pPr>
      <w:r w:rsidRPr="003E78ED">
        <w:rPr>
          <w:i/>
          <w:sz w:val="28"/>
          <w:szCs w:val="28"/>
          <w:u w:val="single"/>
          <w:lang w:val="ro-RO"/>
        </w:rPr>
        <w:t>La proiectul de hotărâre privind  aprobarea</w:t>
      </w:r>
    </w:p>
    <w:p w:rsidR="00A91262" w:rsidRPr="003E78ED" w:rsidRDefault="00A91262" w:rsidP="00A91262">
      <w:pPr>
        <w:jc w:val="center"/>
        <w:rPr>
          <w:i/>
          <w:sz w:val="28"/>
          <w:szCs w:val="28"/>
          <w:u w:val="single"/>
          <w:lang w:val="ro-RO"/>
        </w:rPr>
      </w:pPr>
      <w:r w:rsidRPr="003E78ED">
        <w:rPr>
          <w:i/>
          <w:sz w:val="28"/>
          <w:szCs w:val="28"/>
          <w:u w:val="single"/>
          <w:lang w:val="ro-RO"/>
        </w:rPr>
        <w:t>Bugetului rectificat al Comunei Acăţari 2021</w:t>
      </w:r>
    </w:p>
    <w:p w:rsidR="00A91262" w:rsidRDefault="00A91262" w:rsidP="00A91262">
      <w:pPr>
        <w:jc w:val="center"/>
        <w:rPr>
          <w:lang w:val="ro-RO"/>
        </w:rPr>
      </w:pPr>
    </w:p>
    <w:p w:rsidR="00265C29" w:rsidRDefault="00265C29" w:rsidP="00A91262">
      <w:pPr>
        <w:jc w:val="center"/>
        <w:rPr>
          <w:lang w:val="ro-RO"/>
        </w:rPr>
      </w:pPr>
    </w:p>
    <w:p w:rsidR="00265C29" w:rsidRDefault="00265C29" w:rsidP="00A91262">
      <w:pPr>
        <w:jc w:val="center"/>
        <w:rPr>
          <w:lang w:val="ro-RO"/>
        </w:rPr>
      </w:pPr>
    </w:p>
    <w:p w:rsidR="00A91262" w:rsidRDefault="00A91262" w:rsidP="00A91262">
      <w:pPr>
        <w:rPr>
          <w:lang w:val="ro-RO"/>
        </w:rPr>
      </w:pPr>
    </w:p>
    <w:p w:rsidR="00A91262" w:rsidRPr="00744294" w:rsidRDefault="00265C29" w:rsidP="003E78ED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 w:rsidR="00A91262" w:rsidRPr="00613D5E">
        <w:rPr>
          <w:rFonts w:ascii="Arial" w:hAnsi="Arial" w:cs="Arial"/>
        </w:rPr>
        <w:t>Potrivit</w:t>
      </w:r>
      <w:proofErr w:type="spellEnd"/>
      <w:r w:rsidR="00A91262" w:rsidRPr="00613D5E">
        <w:rPr>
          <w:rFonts w:ascii="Arial" w:hAnsi="Arial" w:cs="Arial"/>
        </w:rPr>
        <w:t xml:space="preserve"> </w:t>
      </w:r>
      <w:proofErr w:type="spellStart"/>
      <w:r w:rsidR="00A91262" w:rsidRPr="00613D5E">
        <w:rPr>
          <w:rFonts w:ascii="Arial" w:hAnsi="Arial" w:cs="Arial"/>
        </w:rPr>
        <w:t>prevederilor</w:t>
      </w:r>
      <w:proofErr w:type="spellEnd"/>
      <w:r w:rsidR="00A91262" w:rsidRPr="00613D5E">
        <w:rPr>
          <w:rFonts w:ascii="Arial" w:hAnsi="Arial" w:cs="Arial"/>
        </w:rPr>
        <w:t xml:space="preserve"> </w:t>
      </w:r>
      <w:proofErr w:type="spellStart"/>
      <w:r w:rsidR="00A91262" w:rsidRPr="00613D5E">
        <w:rPr>
          <w:rFonts w:ascii="Arial" w:hAnsi="Arial" w:cs="Arial"/>
        </w:rPr>
        <w:t>Legii</w:t>
      </w:r>
      <w:proofErr w:type="spellEnd"/>
      <w:r w:rsidR="00A91262" w:rsidRPr="00613D5E">
        <w:rPr>
          <w:rFonts w:ascii="Arial" w:hAnsi="Arial" w:cs="Arial"/>
        </w:rPr>
        <w:t xml:space="preserve"> </w:t>
      </w:r>
      <w:proofErr w:type="spellStart"/>
      <w:r w:rsidR="00A91262" w:rsidRPr="00613D5E">
        <w:rPr>
          <w:rFonts w:ascii="Arial" w:hAnsi="Arial" w:cs="Arial"/>
        </w:rPr>
        <w:t>nr</w:t>
      </w:r>
      <w:proofErr w:type="spellEnd"/>
      <w:r w:rsidR="00A91262" w:rsidRPr="00613D5E">
        <w:rPr>
          <w:rFonts w:ascii="Arial" w:hAnsi="Arial" w:cs="Arial"/>
        </w:rPr>
        <w:t>.</w:t>
      </w:r>
      <w:r w:rsidR="00A91262" w:rsidRPr="00096CCF">
        <w:rPr>
          <w:rFonts w:ascii="Arial" w:hAnsi="Arial" w:cs="Arial"/>
        </w:rPr>
        <w:t xml:space="preserve"> 15</w:t>
      </w:r>
      <w:r w:rsidR="00A91262" w:rsidRPr="008D39D6">
        <w:rPr>
          <w:rFonts w:ascii="Arial" w:hAnsi="Arial" w:cs="Arial"/>
        </w:rPr>
        <w:t>/202</w:t>
      </w:r>
      <w:r w:rsidR="00A91262">
        <w:rPr>
          <w:rFonts w:ascii="Arial" w:hAnsi="Arial" w:cs="Arial"/>
        </w:rPr>
        <w:t>1</w:t>
      </w:r>
      <w:r w:rsidR="00A91262" w:rsidRPr="00613D5E">
        <w:rPr>
          <w:rFonts w:ascii="Arial" w:hAnsi="Arial" w:cs="Arial"/>
        </w:rPr>
        <w:t xml:space="preserve">, </w:t>
      </w:r>
      <w:proofErr w:type="spellStart"/>
      <w:r w:rsidR="00A91262" w:rsidRPr="00613D5E">
        <w:rPr>
          <w:rFonts w:ascii="Arial" w:hAnsi="Arial" w:cs="Arial"/>
        </w:rPr>
        <w:t>privind</w:t>
      </w:r>
      <w:proofErr w:type="spellEnd"/>
      <w:r w:rsidR="00A91262" w:rsidRPr="00613D5E">
        <w:rPr>
          <w:rFonts w:ascii="Arial" w:hAnsi="Arial" w:cs="Arial"/>
        </w:rPr>
        <w:t xml:space="preserve"> </w:t>
      </w:r>
      <w:proofErr w:type="spellStart"/>
      <w:r w:rsidR="00A91262" w:rsidRPr="00613D5E">
        <w:rPr>
          <w:rFonts w:ascii="Arial" w:hAnsi="Arial" w:cs="Arial"/>
        </w:rPr>
        <w:t>aprobarea</w:t>
      </w:r>
      <w:proofErr w:type="spellEnd"/>
      <w:r w:rsidR="00A91262" w:rsidRPr="00613D5E">
        <w:rPr>
          <w:rFonts w:ascii="Arial" w:hAnsi="Arial" w:cs="Arial"/>
        </w:rPr>
        <w:t xml:space="preserve"> </w:t>
      </w:r>
      <w:proofErr w:type="spellStart"/>
      <w:r w:rsidR="00A91262" w:rsidRPr="00613D5E">
        <w:rPr>
          <w:rFonts w:ascii="Arial" w:hAnsi="Arial" w:cs="Arial"/>
        </w:rPr>
        <w:t>bugetului</w:t>
      </w:r>
      <w:proofErr w:type="spellEnd"/>
      <w:r w:rsidR="00A91262" w:rsidRPr="00613D5E">
        <w:rPr>
          <w:rFonts w:ascii="Arial" w:hAnsi="Arial" w:cs="Arial"/>
        </w:rPr>
        <w:t xml:space="preserve"> de stat </w:t>
      </w:r>
      <w:proofErr w:type="spellStart"/>
      <w:r w:rsidR="00A91262" w:rsidRPr="00613D5E">
        <w:rPr>
          <w:rFonts w:ascii="Arial" w:hAnsi="Arial" w:cs="Arial"/>
        </w:rPr>
        <w:t>pe</w:t>
      </w:r>
      <w:proofErr w:type="spellEnd"/>
      <w:r w:rsidR="00A91262" w:rsidRPr="00613D5E">
        <w:rPr>
          <w:rFonts w:ascii="Arial" w:hAnsi="Arial" w:cs="Arial"/>
        </w:rPr>
        <w:t xml:space="preserve"> </w:t>
      </w:r>
      <w:proofErr w:type="spellStart"/>
      <w:r w:rsidR="00A91262" w:rsidRPr="00613D5E">
        <w:rPr>
          <w:rFonts w:ascii="Arial" w:hAnsi="Arial" w:cs="Arial"/>
        </w:rPr>
        <w:t>anul</w:t>
      </w:r>
      <w:proofErr w:type="spellEnd"/>
      <w:r w:rsidR="00A91262" w:rsidRPr="00613D5E">
        <w:rPr>
          <w:rFonts w:ascii="Arial" w:hAnsi="Arial" w:cs="Arial"/>
        </w:rPr>
        <w:t xml:space="preserve"> 20</w:t>
      </w:r>
      <w:r w:rsidR="00A91262">
        <w:rPr>
          <w:rFonts w:ascii="Arial" w:hAnsi="Arial" w:cs="Arial"/>
        </w:rPr>
        <w:t>21</w:t>
      </w:r>
      <w:r w:rsidR="00A91262" w:rsidRPr="00613D5E">
        <w:rPr>
          <w:rFonts w:ascii="Arial" w:hAnsi="Arial" w:cs="Arial"/>
        </w:rPr>
        <w:t>,</w:t>
      </w:r>
    </w:p>
    <w:p w:rsidR="00A91262" w:rsidRDefault="00A91262" w:rsidP="003E78ED">
      <w:pPr>
        <w:ind w:firstLine="1560"/>
        <w:jc w:val="both"/>
        <w:rPr>
          <w:rFonts w:ascii="Arial" w:hAnsi="Arial" w:cs="Arial"/>
        </w:rPr>
      </w:pPr>
      <w:r w:rsidRPr="006E3F71">
        <w:rPr>
          <w:rFonts w:ascii="Arial" w:hAnsi="Arial" w:cs="Arial"/>
        </w:rPr>
        <w:t xml:space="preserve">In </w:t>
      </w:r>
      <w:proofErr w:type="spellStart"/>
      <w:r w:rsidRPr="006E3F71">
        <w:rPr>
          <w:rFonts w:ascii="Arial" w:hAnsi="Arial" w:cs="Arial"/>
        </w:rPr>
        <w:t>temeiul</w:t>
      </w:r>
      <w:proofErr w:type="spellEnd"/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dispoziţiilor</w:t>
      </w:r>
      <w:proofErr w:type="spellEnd"/>
      <w:r w:rsidRPr="006E3F71">
        <w:rPr>
          <w:rFonts w:ascii="Arial" w:hAnsi="Arial" w:cs="Arial"/>
        </w:rPr>
        <w:t xml:space="preserve"> art.</w:t>
      </w:r>
      <w:r>
        <w:rPr>
          <w:rFonts w:ascii="Arial" w:hAnsi="Arial" w:cs="Arial"/>
        </w:rPr>
        <w:t>129</w:t>
      </w:r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alin</w:t>
      </w:r>
      <w:proofErr w:type="spellEnd"/>
      <w:proofErr w:type="gramStart"/>
      <w:r w:rsidRPr="006E3F71"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>4</w:t>
      </w:r>
      <w:r w:rsidRPr="006E3F71"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lit.a</w:t>
      </w:r>
      <w:proofErr w:type="spellEnd"/>
      <w:r w:rsidRPr="006E3F71">
        <w:rPr>
          <w:rFonts w:ascii="Arial" w:hAnsi="Arial" w:cs="Arial"/>
        </w:rPr>
        <w:t xml:space="preserve"> ,art.</w:t>
      </w:r>
      <w:r>
        <w:rPr>
          <w:rFonts w:ascii="Arial" w:hAnsi="Arial" w:cs="Arial"/>
        </w:rPr>
        <w:t>196</w:t>
      </w:r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alin</w:t>
      </w:r>
      <w:proofErr w:type="spellEnd"/>
      <w:r w:rsidRPr="006E3F71">
        <w:rPr>
          <w:rFonts w:ascii="Arial" w:hAnsi="Arial" w:cs="Arial"/>
        </w:rPr>
        <w:t>.(</w:t>
      </w:r>
      <w:r>
        <w:rPr>
          <w:rFonts w:ascii="Arial" w:hAnsi="Arial" w:cs="Arial"/>
        </w:rPr>
        <w:t>1</w:t>
      </w:r>
      <w:r w:rsidRPr="006E3F71">
        <w:rPr>
          <w:rFonts w:ascii="Arial" w:hAnsi="Arial" w:cs="Arial"/>
        </w:rPr>
        <w:t xml:space="preserve">) din </w:t>
      </w:r>
      <w:r>
        <w:rPr>
          <w:rFonts w:ascii="Arial" w:hAnsi="Arial" w:cs="Arial"/>
        </w:rPr>
        <w:t>OUG</w:t>
      </w:r>
      <w:r w:rsidRPr="006E3F71">
        <w:rPr>
          <w:rFonts w:ascii="Arial" w:hAnsi="Arial" w:cs="Arial"/>
        </w:rPr>
        <w:t xml:space="preserve"> nr.</w:t>
      </w:r>
      <w:r>
        <w:rPr>
          <w:rFonts w:ascii="Arial" w:hAnsi="Arial" w:cs="Arial"/>
        </w:rPr>
        <w:t>57</w:t>
      </w:r>
      <w:r w:rsidRPr="006E3F71">
        <w:rPr>
          <w:rFonts w:ascii="Arial" w:hAnsi="Arial" w:cs="Arial"/>
        </w:rPr>
        <w:t>/20</w:t>
      </w:r>
      <w:r>
        <w:rPr>
          <w:rFonts w:ascii="Arial" w:hAnsi="Arial" w:cs="Arial"/>
        </w:rPr>
        <w:t>19</w:t>
      </w:r>
      <w:r w:rsidRPr="006E3F71">
        <w:rPr>
          <w:rFonts w:ascii="Arial" w:hAnsi="Arial" w:cs="Arial"/>
        </w:rPr>
        <w:t xml:space="preserve"> </w:t>
      </w:r>
      <w:proofErr w:type="spellStart"/>
      <w:r w:rsidRPr="006E3F71">
        <w:rPr>
          <w:rFonts w:ascii="Arial" w:hAnsi="Arial" w:cs="Arial"/>
        </w:rPr>
        <w:t>privind</w:t>
      </w:r>
      <w:proofErr w:type="spellEnd"/>
      <w:r w:rsidRPr="006E3F7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</w:t>
      </w:r>
      <w:proofErr w:type="spellEnd"/>
      <w:r>
        <w:rPr>
          <w:rFonts w:ascii="Arial" w:hAnsi="Arial" w:cs="Arial"/>
        </w:rPr>
        <w:t>,</w:t>
      </w:r>
      <w:r w:rsidRPr="004C7DCE">
        <w:rPr>
          <w:rFonts w:ascii="Arial" w:hAnsi="Arial" w:cs="Arial"/>
        </w:rPr>
        <w:tab/>
      </w:r>
    </w:p>
    <w:p w:rsidR="00A91262" w:rsidRDefault="00A91262" w:rsidP="00A91262">
      <w:pPr>
        <w:autoSpaceDE w:val="0"/>
        <w:autoSpaceDN w:val="0"/>
        <w:adjustRightInd w:val="0"/>
        <w:ind w:left="567" w:firstLine="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1262" w:rsidRDefault="00A91262" w:rsidP="003E78ED">
      <w:pPr>
        <w:ind w:firstLine="15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articolului</w:t>
      </w:r>
      <w:proofErr w:type="spellEnd"/>
      <w:r>
        <w:rPr>
          <w:rFonts w:ascii="Arial" w:hAnsi="Arial" w:cs="Arial"/>
        </w:rPr>
        <w:t xml:space="preserve"> 39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 273/2006 </w:t>
      </w:r>
      <w:proofErr w:type="spellStart"/>
      <w:proofErr w:type="gram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finan</w:t>
      </w:r>
      <w:proofErr w:type="gramEnd"/>
      <w:r>
        <w:rPr>
          <w:rFonts w:ascii="Arial" w:hAnsi="Arial" w:cs="Arial"/>
        </w:rPr>
        <w:t>țele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locale,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Acățari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propriu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propuneri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fundamentate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ordonatorilor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credite</w:t>
      </w:r>
      <w:proofErr w:type="spellEnd"/>
      <w:r>
        <w:rPr>
          <w:rFonts w:ascii="Arial" w:hAnsi="Arial" w:cs="Arial"/>
        </w:rPr>
        <w:t>,</w:t>
      </w:r>
    </w:p>
    <w:p w:rsidR="00A91262" w:rsidRDefault="00A91262" w:rsidP="00A91262">
      <w:pPr>
        <w:ind w:left="567" w:firstLine="426"/>
        <w:jc w:val="both"/>
        <w:rPr>
          <w:sz w:val="26"/>
          <w:szCs w:val="26"/>
          <w:lang w:val="ro-RO"/>
        </w:rPr>
      </w:pPr>
    </w:p>
    <w:p w:rsidR="00A91262" w:rsidRPr="00C45012" w:rsidRDefault="00A91262" w:rsidP="003E78ED">
      <w:pPr>
        <w:tabs>
          <w:tab w:val="left" w:pos="10080"/>
        </w:tabs>
        <w:ind w:firstLine="1560"/>
        <w:jc w:val="both"/>
        <w:rPr>
          <w:rFonts w:ascii="Arial" w:hAnsi="Arial" w:cs="Arial"/>
        </w:rPr>
      </w:pPr>
      <w:proofErr w:type="spellStart"/>
      <w:r w:rsidRPr="00C45012">
        <w:rPr>
          <w:rFonts w:ascii="Arial" w:hAnsi="Arial" w:cs="Arial"/>
        </w:rPr>
        <w:t>Administrația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Județeană</w:t>
      </w:r>
      <w:proofErr w:type="spellEnd"/>
      <w:r w:rsidRPr="00C45012">
        <w:rPr>
          <w:rFonts w:ascii="Arial" w:hAnsi="Arial" w:cs="Arial"/>
        </w:rPr>
        <w:t xml:space="preserve"> a </w:t>
      </w:r>
      <w:proofErr w:type="spellStart"/>
      <w:r w:rsidRPr="00C45012">
        <w:rPr>
          <w:rFonts w:ascii="Arial" w:hAnsi="Arial" w:cs="Arial"/>
        </w:rPr>
        <w:t>Finanțelor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Publice</w:t>
      </w:r>
      <w:proofErr w:type="spellEnd"/>
      <w:r w:rsidRPr="00C45012">
        <w:rPr>
          <w:rFonts w:ascii="Arial" w:hAnsi="Arial" w:cs="Arial"/>
        </w:rPr>
        <w:t xml:space="preserve"> Mureș </w:t>
      </w:r>
      <w:proofErr w:type="spellStart"/>
      <w:r w:rsidRPr="00C45012">
        <w:rPr>
          <w:rFonts w:ascii="Arial" w:hAnsi="Arial" w:cs="Arial"/>
        </w:rPr>
        <w:t>prin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Decizia</w:t>
      </w:r>
      <w:proofErr w:type="spellEnd"/>
      <w:r w:rsidRPr="00C45012">
        <w:rPr>
          <w:rFonts w:ascii="Arial" w:hAnsi="Arial" w:cs="Arial"/>
        </w:rPr>
        <w:t xml:space="preserve"> cu nr. 16747 din 16.09.2021 </w:t>
      </w:r>
      <w:proofErr w:type="spellStart"/>
      <w:r w:rsidRPr="00C45012">
        <w:rPr>
          <w:rFonts w:ascii="Arial" w:hAnsi="Arial" w:cs="Arial"/>
        </w:rPr>
        <w:t>privind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sumele</w:t>
      </w:r>
      <w:proofErr w:type="spellEnd"/>
      <w:r w:rsidRPr="00C45012">
        <w:rPr>
          <w:rFonts w:ascii="Arial" w:hAnsi="Arial" w:cs="Arial"/>
        </w:rPr>
        <w:t xml:space="preserve"> defalcate din </w:t>
      </w:r>
      <w:proofErr w:type="spellStart"/>
      <w:r w:rsidRPr="00C45012">
        <w:rPr>
          <w:rFonts w:ascii="Arial" w:hAnsi="Arial" w:cs="Arial"/>
        </w:rPr>
        <w:t>venituri</w:t>
      </w:r>
      <w:proofErr w:type="spellEnd"/>
      <w:r w:rsidRPr="00C45012">
        <w:rPr>
          <w:rFonts w:ascii="Arial" w:hAnsi="Arial" w:cs="Arial"/>
        </w:rPr>
        <w:t xml:space="preserve"> a </w:t>
      </w:r>
      <w:proofErr w:type="spellStart"/>
      <w:r w:rsidRPr="00C45012">
        <w:rPr>
          <w:rFonts w:ascii="Arial" w:hAnsi="Arial" w:cs="Arial"/>
        </w:rPr>
        <w:t>repartizat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veniturile</w:t>
      </w:r>
      <w:proofErr w:type="spellEnd"/>
      <w:r w:rsidRPr="00C45012">
        <w:rPr>
          <w:rFonts w:ascii="Arial" w:hAnsi="Arial" w:cs="Arial"/>
        </w:rPr>
        <w:t xml:space="preserve"> din </w:t>
      </w:r>
      <w:proofErr w:type="spellStart"/>
      <w:r w:rsidRPr="00C45012">
        <w:rPr>
          <w:rFonts w:ascii="Arial" w:hAnsi="Arial" w:cs="Arial"/>
        </w:rPr>
        <w:t>cotele</w:t>
      </w:r>
      <w:proofErr w:type="spellEnd"/>
      <w:r w:rsidRPr="00C45012">
        <w:rPr>
          <w:rFonts w:ascii="Arial" w:hAnsi="Arial" w:cs="Arial"/>
        </w:rPr>
        <w:t xml:space="preserve"> defalcate a </w:t>
      </w:r>
      <w:proofErr w:type="spellStart"/>
      <w:r w:rsidRPr="00C45012">
        <w:rPr>
          <w:rFonts w:ascii="Arial" w:hAnsi="Arial" w:cs="Arial"/>
        </w:rPr>
        <w:t>impozitului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pe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venituri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suma</w:t>
      </w:r>
      <w:proofErr w:type="spellEnd"/>
      <w:r w:rsidRPr="00C45012">
        <w:rPr>
          <w:rFonts w:ascii="Arial" w:hAnsi="Arial" w:cs="Arial"/>
        </w:rPr>
        <w:t xml:space="preserve"> </w:t>
      </w:r>
      <w:proofErr w:type="spellStart"/>
      <w:r w:rsidRPr="00C45012">
        <w:rPr>
          <w:rFonts w:ascii="Arial" w:hAnsi="Arial" w:cs="Arial"/>
        </w:rPr>
        <w:t>adițională</w:t>
      </w:r>
      <w:proofErr w:type="spellEnd"/>
      <w:r w:rsidRPr="00C45012">
        <w:rPr>
          <w:rFonts w:ascii="Arial" w:hAnsi="Arial" w:cs="Arial"/>
        </w:rPr>
        <w:t xml:space="preserve"> de 268 mii lei,</w:t>
      </w:r>
    </w:p>
    <w:p w:rsidR="00A91262" w:rsidRPr="00C45012" w:rsidRDefault="00A91262" w:rsidP="003E78ED">
      <w:pPr>
        <w:tabs>
          <w:tab w:val="left" w:pos="10080"/>
        </w:tabs>
        <w:ind w:left="567" w:firstLine="426"/>
        <w:jc w:val="both"/>
        <w:rPr>
          <w:rFonts w:ascii="Arial" w:hAnsi="Arial" w:cs="Arial"/>
        </w:rPr>
      </w:pPr>
    </w:p>
    <w:p w:rsidR="00A91262" w:rsidRPr="00C45012" w:rsidRDefault="003E78ED" w:rsidP="003E78ED">
      <w:pPr>
        <w:tabs>
          <w:tab w:val="left" w:pos="10080"/>
        </w:tabs>
        <w:ind w:hanging="4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r w:rsidR="00A91262" w:rsidRPr="00C45012">
        <w:rPr>
          <w:rFonts w:ascii="Arial" w:hAnsi="Arial" w:cs="Arial"/>
        </w:rPr>
        <w:t xml:space="preserve">Suma de 268 mii lei se </w:t>
      </w:r>
      <w:proofErr w:type="spellStart"/>
      <w:r w:rsidR="00A91262" w:rsidRPr="00C45012">
        <w:rPr>
          <w:rFonts w:ascii="Arial" w:hAnsi="Arial" w:cs="Arial"/>
        </w:rPr>
        <w:t>repartizează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pe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cheltuieli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curente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după</w:t>
      </w:r>
      <w:proofErr w:type="spellEnd"/>
      <w:r w:rsidR="00A91262" w:rsidRPr="00C45012">
        <w:rPr>
          <w:rFonts w:ascii="Arial" w:hAnsi="Arial" w:cs="Arial"/>
        </w:rPr>
        <w:t xml:space="preserve"> cum </w:t>
      </w:r>
      <w:proofErr w:type="spellStart"/>
      <w:r w:rsidR="00A91262" w:rsidRPr="00C45012">
        <w:rPr>
          <w:rFonts w:ascii="Arial" w:hAnsi="Arial" w:cs="Arial"/>
        </w:rPr>
        <w:t>urmează</w:t>
      </w:r>
      <w:proofErr w:type="spellEnd"/>
      <w:r w:rsidR="00A91262" w:rsidRPr="00C45012">
        <w:rPr>
          <w:rFonts w:ascii="Arial" w:hAnsi="Arial" w:cs="Arial"/>
        </w:rPr>
        <w:t xml:space="preserve">: </w:t>
      </w:r>
      <w:proofErr w:type="spellStart"/>
      <w:r w:rsidR="00A91262" w:rsidRPr="00C45012">
        <w:rPr>
          <w:rFonts w:ascii="Arial" w:hAnsi="Arial" w:cs="Arial"/>
        </w:rPr>
        <w:t>Indemnizații</w:t>
      </w:r>
      <w:proofErr w:type="spellEnd"/>
      <w:r w:rsidR="00A91262" w:rsidRPr="00C45012">
        <w:rPr>
          <w:rFonts w:ascii="Arial" w:hAnsi="Arial" w:cs="Arial"/>
        </w:rPr>
        <w:t xml:space="preserve"> ale </w:t>
      </w:r>
      <w:proofErr w:type="spellStart"/>
      <w:r w:rsidR="00A91262" w:rsidRPr="00C45012">
        <w:rPr>
          <w:rFonts w:ascii="Arial" w:hAnsi="Arial" w:cs="Arial"/>
        </w:rPr>
        <w:t>persoanelor</w:t>
      </w:r>
      <w:proofErr w:type="spellEnd"/>
      <w:r w:rsidR="00A91262" w:rsidRPr="00C45012">
        <w:rPr>
          <w:rFonts w:ascii="Arial" w:hAnsi="Arial" w:cs="Arial"/>
        </w:rPr>
        <w:t xml:space="preserve"> cu handicap, </w:t>
      </w:r>
      <w:proofErr w:type="spellStart"/>
      <w:r w:rsidR="00A91262" w:rsidRPr="00C45012">
        <w:rPr>
          <w:rFonts w:ascii="Arial" w:hAnsi="Arial" w:cs="Arial"/>
        </w:rPr>
        <w:t>utilități</w:t>
      </w:r>
      <w:proofErr w:type="spellEnd"/>
      <w:r w:rsidR="00A91262" w:rsidRPr="00C45012">
        <w:rPr>
          <w:rFonts w:ascii="Arial" w:hAnsi="Arial" w:cs="Arial"/>
        </w:rPr>
        <w:t xml:space="preserve"> (</w:t>
      </w:r>
      <w:proofErr w:type="spellStart"/>
      <w:r w:rsidR="00A91262" w:rsidRPr="00C45012">
        <w:rPr>
          <w:rFonts w:ascii="Arial" w:hAnsi="Arial" w:cs="Arial"/>
        </w:rPr>
        <w:t>energie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electrică</w:t>
      </w:r>
      <w:proofErr w:type="spellEnd"/>
      <w:r w:rsidR="00A91262" w:rsidRPr="00C45012">
        <w:rPr>
          <w:rFonts w:ascii="Arial" w:hAnsi="Arial" w:cs="Arial"/>
        </w:rPr>
        <w:t xml:space="preserve">, </w:t>
      </w:r>
      <w:proofErr w:type="spellStart"/>
      <w:r w:rsidR="00A91262" w:rsidRPr="00C45012">
        <w:rPr>
          <w:rFonts w:ascii="Arial" w:hAnsi="Arial" w:cs="Arial"/>
        </w:rPr>
        <w:t>comustibil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și</w:t>
      </w:r>
      <w:proofErr w:type="spellEnd"/>
      <w:r w:rsidR="00A91262" w:rsidRPr="00C45012">
        <w:rPr>
          <w:rFonts w:ascii="Arial" w:hAnsi="Arial" w:cs="Arial"/>
        </w:rPr>
        <w:t xml:space="preserve"> gaze), </w:t>
      </w:r>
      <w:proofErr w:type="spellStart"/>
      <w:r w:rsidR="00A91262" w:rsidRPr="00C45012">
        <w:rPr>
          <w:rFonts w:ascii="Arial" w:hAnsi="Arial" w:cs="Arial"/>
        </w:rPr>
        <w:t>reparații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curente</w:t>
      </w:r>
      <w:proofErr w:type="spellEnd"/>
      <w:r w:rsidR="00A91262" w:rsidRPr="00C45012">
        <w:rPr>
          <w:rFonts w:ascii="Arial" w:hAnsi="Arial" w:cs="Arial"/>
        </w:rPr>
        <w:t xml:space="preserve"> (</w:t>
      </w:r>
      <w:proofErr w:type="spellStart"/>
      <w:r w:rsidR="00A91262" w:rsidRPr="00C45012">
        <w:rPr>
          <w:rFonts w:ascii="Arial" w:hAnsi="Arial" w:cs="Arial"/>
        </w:rPr>
        <w:t>cămin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și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școală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Stejeriș</w:t>
      </w:r>
      <w:proofErr w:type="spellEnd"/>
      <w:r w:rsidR="00A91262" w:rsidRPr="00C45012">
        <w:rPr>
          <w:rFonts w:ascii="Arial" w:hAnsi="Arial" w:cs="Arial"/>
        </w:rPr>
        <w:t xml:space="preserve">), </w:t>
      </w:r>
      <w:proofErr w:type="spellStart"/>
      <w:r w:rsidR="00A91262" w:rsidRPr="00C45012">
        <w:rPr>
          <w:rFonts w:ascii="Arial" w:hAnsi="Arial" w:cs="Arial"/>
        </w:rPr>
        <w:t>cheltuieli</w:t>
      </w:r>
      <w:proofErr w:type="spellEnd"/>
      <w:r w:rsidR="00A91262" w:rsidRPr="00C45012">
        <w:rPr>
          <w:rFonts w:ascii="Arial" w:hAnsi="Arial" w:cs="Arial"/>
        </w:rPr>
        <w:t xml:space="preserve"> cu </w:t>
      </w:r>
      <w:proofErr w:type="spellStart"/>
      <w:r w:rsidR="00A91262" w:rsidRPr="00C45012">
        <w:rPr>
          <w:rFonts w:ascii="Arial" w:hAnsi="Arial" w:cs="Arial"/>
        </w:rPr>
        <w:t>arhivare</w:t>
      </w:r>
      <w:proofErr w:type="spellEnd"/>
      <w:r w:rsidR="00A91262" w:rsidRPr="00C45012">
        <w:rPr>
          <w:rFonts w:ascii="Arial" w:hAnsi="Arial" w:cs="Arial"/>
        </w:rPr>
        <w:t xml:space="preserve">, </w:t>
      </w:r>
      <w:proofErr w:type="spellStart"/>
      <w:r w:rsidR="00A91262" w:rsidRPr="00C45012">
        <w:rPr>
          <w:rFonts w:ascii="Arial" w:hAnsi="Arial" w:cs="Arial"/>
        </w:rPr>
        <w:t>cheltuieli</w:t>
      </w:r>
      <w:proofErr w:type="spellEnd"/>
      <w:r w:rsidR="00A91262" w:rsidRPr="00C45012">
        <w:rPr>
          <w:rFonts w:ascii="Arial" w:hAnsi="Arial" w:cs="Arial"/>
        </w:rPr>
        <w:t xml:space="preserve"> de </w:t>
      </w:r>
      <w:proofErr w:type="spellStart"/>
      <w:r w:rsidR="00A91262" w:rsidRPr="00C45012">
        <w:rPr>
          <w:rFonts w:ascii="Arial" w:hAnsi="Arial" w:cs="Arial"/>
        </w:rPr>
        <w:t>consultanță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proiecte</w:t>
      </w:r>
      <w:proofErr w:type="spellEnd"/>
      <w:r w:rsidR="00A91262" w:rsidRPr="00C45012">
        <w:rPr>
          <w:rFonts w:ascii="Arial" w:hAnsi="Arial" w:cs="Arial"/>
        </w:rPr>
        <w:t xml:space="preserve"> de </w:t>
      </w:r>
      <w:proofErr w:type="spellStart"/>
      <w:r w:rsidR="00A91262" w:rsidRPr="00C45012">
        <w:rPr>
          <w:rFonts w:ascii="Arial" w:hAnsi="Arial" w:cs="Arial"/>
        </w:rPr>
        <w:t>finanțare</w:t>
      </w:r>
      <w:proofErr w:type="spellEnd"/>
      <w:r w:rsidR="00A91262" w:rsidRPr="00C45012">
        <w:rPr>
          <w:rFonts w:ascii="Arial" w:hAnsi="Arial" w:cs="Arial"/>
        </w:rPr>
        <w:t xml:space="preserve">, </w:t>
      </w:r>
      <w:proofErr w:type="spellStart"/>
      <w:r w:rsidR="00A91262" w:rsidRPr="00C45012">
        <w:rPr>
          <w:rFonts w:ascii="Arial" w:hAnsi="Arial" w:cs="Arial"/>
        </w:rPr>
        <w:t>alte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cheltuieli</w:t>
      </w:r>
      <w:proofErr w:type="spellEnd"/>
      <w:r w:rsidR="00A91262" w:rsidRPr="00C45012">
        <w:rPr>
          <w:rFonts w:ascii="Arial" w:hAnsi="Arial" w:cs="Arial"/>
        </w:rPr>
        <w:t xml:space="preserve"> </w:t>
      </w:r>
      <w:proofErr w:type="spellStart"/>
      <w:r w:rsidR="00A91262" w:rsidRPr="00C45012">
        <w:rPr>
          <w:rFonts w:ascii="Arial" w:hAnsi="Arial" w:cs="Arial"/>
        </w:rPr>
        <w:t>curente</w:t>
      </w:r>
      <w:proofErr w:type="spellEnd"/>
      <w:r w:rsidR="00A91262" w:rsidRPr="00C45012">
        <w:rPr>
          <w:rFonts w:ascii="Arial" w:hAnsi="Arial" w:cs="Arial"/>
        </w:rPr>
        <w:t>.</w:t>
      </w:r>
      <w:r w:rsidR="00A91262">
        <w:rPr>
          <w:rFonts w:ascii="Arial" w:hAnsi="Arial" w:cs="Arial"/>
        </w:rPr>
        <w:t xml:space="preserve"> Se </w:t>
      </w:r>
      <w:proofErr w:type="spellStart"/>
      <w:r w:rsidR="00A91262">
        <w:rPr>
          <w:rFonts w:ascii="Arial" w:hAnsi="Arial" w:cs="Arial"/>
        </w:rPr>
        <w:t>repartizează</w:t>
      </w:r>
      <w:proofErr w:type="spellEnd"/>
      <w:r w:rsidR="00A91262">
        <w:rPr>
          <w:rFonts w:ascii="Arial" w:hAnsi="Arial" w:cs="Arial"/>
        </w:rPr>
        <w:t xml:space="preserve"> </w:t>
      </w:r>
      <w:proofErr w:type="spellStart"/>
      <w:r w:rsidR="00A91262">
        <w:rPr>
          <w:rFonts w:ascii="Arial" w:hAnsi="Arial" w:cs="Arial"/>
        </w:rPr>
        <w:t>pe</w:t>
      </w:r>
      <w:proofErr w:type="spellEnd"/>
      <w:r w:rsidR="00A91262">
        <w:rPr>
          <w:rFonts w:ascii="Arial" w:hAnsi="Arial" w:cs="Arial"/>
        </w:rPr>
        <w:t xml:space="preserve"> </w:t>
      </w:r>
      <w:proofErr w:type="spellStart"/>
      <w:r w:rsidR="00A91262">
        <w:rPr>
          <w:rFonts w:ascii="Arial" w:hAnsi="Arial" w:cs="Arial"/>
        </w:rPr>
        <w:t>următoarele</w:t>
      </w:r>
      <w:proofErr w:type="spellEnd"/>
      <w:r w:rsidR="00A91262">
        <w:rPr>
          <w:rFonts w:ascii="Arial" w:hAnsi="Arial" w:cs="Arial"/>
        </w:rPr>
        <w:t xml:space="preserve"> </w:t>
      </w:r>
      <w:proofErr w:type="spellStart"/>
      <w:r w:rsidR="00A91262">
        <w:rPr>
          <w:rFonts w:ascii="Arial" w:hAnsi="Arial" w:cs="Arial"/>
        </w:rPr>
        <w:t>capitole</w:t>
      </w:r>
      <w:proofErr w:type="spellEnd"/>
      <w:r w:rsidR="00A91262">
        <w:rPr>
          <w:rFonts w:ascii="Arial" w:hAnsi="Arial" w:cs="Arial"/>
        </w:rPr>
        <w:t xml:space="preserve"> 51.02. </w:t>
      </w:r>
      <w:proofErr w:type="spellStart"/>
      <w:r w:rsidR="00A91262">
        <w:rPr>
          <w:rFonts w:ascii="Arial" w:hAnsi="Arial" w:cs="Arial"/>
        </w:rPr>
        <w:t>administrație</w:t>
      </w:r>
      <w:proofErr w:type="spellEnd"/>
      <w:r w:rsidR="00A91262">
        <w:rPr>
          <w:rFonts w:ascii="Arial" w:hAnsi="Arial" w:cs="Arial"/>
        </w:rPr>
        <w:t xml:space="preserve">, 70.02 </w:t>
      </w:r>
      <w:proofErr w:type="spellStart"/>
      <w:r w:rsidR="00A91262">
        <w:rPr>
          <w:rFonts w:ascii="Arial" w:hAnsi="Arial" w:cs="Arial"/>
        </w:rPr>
        <w:t>iluminat</w:t>
      </w:r>
      <w:proofErr w:type="spellEnd"/>
      <w:r w:rsidR="00A91262">
        <w:rPr>
          <w:rFonts w:ascii="Arial" w:hAnsi="Arial" w:cs="Arial"/>
        </w:rPr>
        <w:t xml:space="preserve"> public </w:t>
      </w:r>
      <w:proofErr w:type="spellStart"/>
      <w:r w:rsidR="00A91262">
        <w:rPr>
          <w:rFonts w:ascii="Arial" w:hAnsi="Arial" w:cs="Arial"/>
        </w:rPr>
        <w:t>și</w:t>
      </w:r>
      <w:proofErr w:type="spellEnd"/>
      <w:r w:rsidR="00A91262">
        <w:rPr>
          <w:rFonts w:ascii="Arial" w:hAnsi="Arial" w:cs="Arial"/>
        </w:rPr>
        <w:t xml:space="preserve"> </w:t>
      </w:r>
      <w:proofErr w:type="spellStart"/>
      <w:r w:rsidR="00A91262">
        <w:rPr>
          <w:rFonts w:ascii="Arial" w:hAnsi="Arial" w:cs="Arial"/>
        </w:rPr>
        <w:t>dezvoltare</w:t>
      </w:r>
      <w:proofErr w:type="spellEnd"/>
      <w:r w:rsidR="00A91262">
        <w:rPr>
          <w:rFonts w:ascii="Arial" w:hAnsi="Arial" w:cs="Arial"/>
        </w:rPr>
        <w:t xml:space="preserve"> </w:t>
      </w:r>
      <w:proofErr w:type="spellStart"/>
      <w:r w:rsidR="00A91262">
        <w:rPr>
          <w:rFonts w:ascii="Arial" w:hAnsi="Arial" w:cs="Arial"/>
        </w:rPr>
        <w:t>locală</w:t>
      </w:r>
      <w:proofErr w:type="spellEnd"/>
      <w:r w:rsidR="00A91262">
        <w:rPr>
          <w:rFonts w:ascii="Arial" w:hAnsi="Arial" w:cs="Arial"/>
        </w:rPr>
        <w:t xml:space="preserve">, 65.02 </w:t>
      </w:r>
      <w:proofErr w:type="spellStart"/>
      <w:r w:rsidR="00A91262">
        <w:rPr>
          <w:rFonts w:ascii="Arial" w:hAnsi="Arial" w:cs="Arial"/>
        </w:rPr>
        <w:t>învățămând</w:t>
      </w:r>
      <w:proofErr w:type="spellEnd"/>
      <w:r w:rsidR="00A91262">
        <w:rPr>
          <w:rFonts w:ascii="Arial" w:hAnsi="Arial" w:cs="Arial"/>
        </w:rPr>
        <w:t xml:space="preserve">, 67.02 </w:t>
      </w:r>
      <w:proofErr w:type="spellStart"/>
      <w:r w:rsidR="00A91262">
        <w:rPr>
          <w:rFonts w:ascii="Arial" w:hAnsi="Arial" w:cs="Arial"/>
        </w:rPr>
        <w:t>Cămine</w:t>
      </w:r>
      <w:proofErr w:type="spellEnd"/>
      <w:r w:rsidR="00A91262">
        <w:rPr>
          <w:rFonts w:ascii="Arial" w:hAnsi="Arial" w:cs="Arial"/>
        </w:rPr>
        <w:t xml:space="preserve"> </w:t>
      </w:r>
      <w:proofErr w:type="spellStart"/>
      <w:r w:rsidR="00A91262">
        <w:rPr>
          <w:rFonts w:ascii="Arial" w:hAnsi="Arial" w:cs="Arial"/>
        </w:rPr>
        <w:t>culturale</w:t>
      </w:r>
      <w:proofErr w:type="spellEnd"/>
      <w:r w:rsidR="00A91262">
        <w:rPr>
          <w:rFonts w:ascii="Arial" w:hAnsi="Arial" w:cs="Arial"/>
        </w:rPr>
        <w:t>.</w:t>
      </w:r>
    </w:p>
    <w:p w:rsidR="00A91262" w:rsidRDefault="00A91262" w:rsidP="003E78ED">
      <w:pPr>
        <w:ind w:hanging="477"/>
        <w:rPr>
          <w:rFonts w:ascii="Arial" w:hAnsi="Arial" w:cs="Arial"/>
        </w:rPr>
      </w:pPr>
    </w:p>
    <w:p w:rsidR="00A91262" w:rsidRPr="00DE50C5" w:rsidRDefault="00A91262" w:rsidP="003E78ED">
      <w:pPr>
        <w:pStyle w:val="BodyTextIndent"/>
        <w:ind w:left="567" w:hanging="477"/>
        <w:rPr>
          <w:sz w:val="28"/>
          <w:lang w:val="ro-RO"/>
        </w:rPr>
      </w:pPr>
      <w:r>
        <w:rPr>
          <w:rFonts w:ascii="Arial" w:hAnsi="Arial" w:cs="Arial"/>
        </w:rPr>
        <w:t xml:space="preserve"> </w:t>
      </w:r>
    </w:p>
    <w:p w:rsidR="00A91262" w:rsidRDefault="00A91262" w:rsidP="00A91262">
      <w:pPr>
        <w:ind w:left="567" w:right="414" w:firstLine="284"/>
        <w:jc w:val="both"/>
        <w:rPr>
          <w:lang w:val="ro-RO"/>
        </w:rPr>
      </w:pPr>
    </w:p>
    <w:p w:rsidR="00A91262" w:rsidRDefault="00A91262" w:rsidP="00A91262">
      <w:pPr>
        <w:ind w:left="567" w:right="414" w:firstLine="284"/>
        <w:jc w:val="both"/>
        <w:rPr>
          <w:lang w:val="ro-RO"/>
        </w:rPr>
      </w:pPr>
    </w:p>
    <w:p w:rsidR="00A91262" w:rsidRDefault="00A91262" w:rsidP="00A91262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:rsidR="00A91262" w:rsidRDefault="00A91262" w:rsidP="00A91262">
      <w:pPr>
        <w:ind w:left="567" w:right="414" w:firstLine="284"/>
        <w:jc w:val="both"/>
        <w:rPr>
          <w:lang w:val="ro-RO"/>
        </w:rPr>
      </w:pPr>
    </w:p>
    <w:p w:rsidR="00A91262" w:rsidRDefault="00A91262"/>
    <w:sectPr w:rsidR="00A91262" w:rsidSect="000D5900">
      <w:pgSz w:w="12240" w:h="15840"/>
      <w:pgMar w:top="27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2BB"/>
    <w:rsid w:val="000D5900"/>
    <w:rsid w:val="00265C29"/>
    <w:rsid w:val="003E78ED"/>
    <w:rsid w:val="003F7DA0"/>
    <w:rsid w:val="00622DC5"/>
    <w:rsid w:val="006E05B6"/>
    <w:rsid w:val="00775ED0"/>
    <w:rsid w:val="00793079"/>
    <w:rsid w:val="0082706F"/>
    <w:rsid w:val="00A91262"/>
    <w:rsid w:val="00AA55B7"/>
    <w:rsid w:val="00EB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85321-8AC2-4BDD-A1E7-D24CC614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12BB"/>
    <w:pPr>
      <w:keepNext/>
      <w:outlineLvl w:val="0"/>
    </w:pPr>
    <w:rPr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2BB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">
    <w:name w:val="Body Text"/>
    <w:basedOn w:val="Normal"/>
    <w:link w:val="BodyTextChar"/>
    <w:semiHidden/>
    <w:unhideWhenUsed/>
    <w:rsid w:val="00EB12BB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EB12BB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EB12B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EB12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B1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EB1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uiPriority w:val="99"/>
    <w:semiHidden/>
    <w:unhideWhenUsed/>
    <w:rsid w:val="003E7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10</cp:revision>
  <dcterms:created xsi:type="dcterms:W3CDTF">2021-09-24T06:26:00Z</dcterms:created>
  <dcterms:modified xsi:type="dcterms:W3CDTF">2021-09-24T09:59:00Z</dcterms:modified>
</cp:coreProperties>
</file>