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A3DD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</w:rPr>
        <w:t>ROMÂNIA</w:t>
      </w:r>
    </w:p>
    <w:p w14:paraId="4F191F8A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>JUDEŢUL MUREŞ</w:t>
      </w:r>
    </w:p>
    <w:p w14:paraId="11DBCB33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>COMUNA ACĂŢARI</w:t>
      </w:r>
    </w:p>
    <w:p w14:paraId="380F23BE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Tel/Fax: 0265 333112, 0265 333298; e-mail: acatari@cjmures.ro, </w:t>
      </w:r>
      <w:hyperlink r:id="rId5" w:history="1">
        <w:r w:rsidRPr="00310E78">
          <w:rPr>
            <w:rStyle w:val="Hyperlink"/>
            <w:rFonts w:ascii="Times New Roman" w:hAnsi="Times New Roman" w:cs="Times New Roman"/>
            <w:sz w:val="28"/>
            <w:szCs w:val="28"/>
            <w:lang w:val="it-IT"/>
          </w:rPr>
          <w:t>www.acatari.ro</w:t>
        </w:r>
      </w:hyperlink>
    </w:p>
    <w:p w14:paraId="37DAFD0D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</w:p>
    <w:p w14:paraId="672AAB12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62609">
        <w:rPr>
          <w:rFonts w:ascii="Times New Roman" w:hAnsi="Times New Roman" w:cs="Times New Roman"/>
          <w:sz w:val="28"/>
          <w:szCs w:val="28"/>
          <w:lang w:val="it-IT"/>
        </w:rPr>
        <w:tab/>
      </w:r>
    </w:p>
    <w:p w14:paraId="6AF1B916" w14:textId="3444D6E4" w:rsidR="00B62609" w:rsidRPr="00B62609" w:rsidRDefault="00B62609" w:rsidP="00310E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B62609">
        <w:rPr>
          <w:rFonts w:ascii="Times New Roman" w:hAnsi="Times New Roman" w:cs="Times New Roman"/>
          <w:sz w:val="28"/>
          <w:szCs w:val="28"/>
          <w:lang w:val="it-IT"/>
        </w:rPr>
        <w:t xml:space="preserve">Nr. </w:t>
      </w:r>
      <w:r w:rsidR="00310E78">
        <w:rPr>
          <w:rFonts w:ascii="Times New Roman" w:hAnsi="Times New Roman" w:cs="Times New Roman"/>
          <w:sz w:val="28"/>
          <w:szCs w:val="28"/>
          <w:lang w:val="it-IT"/>
        </w:rPr>
        <w:t>2009</w:t>
      </w:r>
      <w:r w:rsidRPr="00B62609">
        <w:rPr>
          <w:rFonts w:ascii="Times New Roman" w:hAnsi="Times New Roman" w:cs="Times New Roman"/>
          <w:sz w:val="28"/>
          <w:szCs w:val="28"/>
          <w:lang w:val="it-IT"/>
        </w:rPr>
        <w:t xml:space="preserve"> din  2</w:t>
      </w:r>
      <w:r w:rsidR="00310E78">
        <w:rPr>
          <w:rFonts w:ascii="Times New Roman" w:hAnsi="Times New Roman" w:cs="Times New Roman"/>
          <w:sz w:val="28"/>
          <w:szCs w:val="28"/>
          <w:lang w:val="it-IT"/>
        </w:rPr>
        <w:t xml:space="preserve"> aprilie</w:t>
      </w:r>
      <w:r w:rsidRPr="00B62609">
        <w:rPr>
          <w:rFonts w:ascii="Times New Roman" w:hAnsi="Times New Roman" w:cs="Times New Roman"/>
          <w:sz w:val="28"/>
          <w:szCs w:val="28"/>
          <w:lang w:val="it-IT"/>
        </w:rPr>
        <w:t xml:space="preserve"> 2025</w:t>
      </w:r>
    </w:p>
    <w:p w14:paraId="5656823E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FCF6B1A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14:paraId="634C9178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  <w:lang w:val="pt-BR"/>
        </w:rPr>
        <w:t>P R O C E S-V E R B A L</w:t>
      </w:r>
    </w:p>
    <w:p w14:paraId="0B759E4F" w14:textId="2592AA8F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it-IT"/>
        </w:rPr>
      </w:pPr>
      <w:r w:rsidRP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>al şedinţei  Consiliului local Acăţari din 2</w:t>
      </w:r>
      <w:r w:rsid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aprilie </w:t>
      </w:r>
      <w:r w:rsidRPr="00310E78">
        <w:rPr>
          <w:rFonts w:ascii="Times New Roman" w:hAnsi="Times New Roman" w:cs="Times New Roman"/>
          <w:sz w:val="28"/>
          <w:szCs w:val="28"/>
          <w:u w:val="single"/>
          <w:lang w:val="it-IT"/>
        </w:rPr>
        <w:t xml:space="preserve"> 2025</w:t>
      </w:r>
    </w:p>
    <w:p w14:paraId="3A46FDE3" w14:textId="77777777" w:rsidR="00B62609" w:rsidRPr="00310E78" w:rsidRDefault="00B62609" w:rsidP="00310E7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5086C85A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DC10B32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1D76996" w14:textId="3CEE56B2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ab/>
      </w:r>
      <w:r w:rsidRPr="00B62609">
        <w:rPr>
          <w:rFonts w:ascii="Times New Roman" w:hAnsi="Times New Roman" w:cs="Times New Roman"/>
          <w:sz w:val="28"/>
          <w:szCs w:val="28"/>
        </w:rPr>
        <w:tab/>
        <w:t>Încheiat azi 2</w:t>
      </w:r>
      <w:r w:rsidR="00310E78">
        <w:rPr>
          <w:rFonts w:ascii="Times New Roman" w:hAnsi="Times New Roman" w:cs="Times New Roman"/>
          <w:sz w:val="28"/>
          <w:szCs w:val="28"/>
        </w:rPr>
        <w:t xml:space="preserve"> aprilie </w:t>
      </w:r>
      <w:r w:rsidRPr="00B62609">
        <w:rPr>
          <w:rFonts w:ascii="Times New Roman" w:hAnsi="Times New Roman" w:cs="Times New Roman"/>
          <w:sz w:val="28"/>
          <w:szCs w:val="28"/>
        </w:rPr>
        <w:t xml:space="preserve">2025 cu ocazia şedinţei  </w:t>
      </w:r>
      <w:r w:rsidR="00310E78">
        <w:rPr>
          <w:rFonts w:ascii="Times New Roman" w:hAnsi="Times New Roman" w:cs="Times New Roman"/>
          <w:sz w:val="28"/>
          <w:szCs w:val="28"/>
        </w:rPr>
        <w:t>de îndată</w:t>
      </w:r>
      <w:r w:rsidRPr="00B62609">
        <w:rPr>
          <w:rFonts w:ascii="Times New Roman" w:hAnsi="Times New Roman" w:cs="Times New Roman"/>
          <w:sz w:val="28"/>
          <w:szCs w:val="28"/>
        </w:rPr>
        <w:t xml:space="preserve">  a Consiliului local al comunei Acăţari.</w:t>
      </w:r>
    </w:p>
    <w:p w14:paraId="4FFA72F6" w14:textId="524CB003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ab/>
      </w:r>
      <w:r w:rsidRPr="00B62609">
        <w:rPr>
          <w:rFonts w:ascii="Times New Roman" w:hAnsi="Times New Roman" w:cs="Times New Roman"/>
          <w:sz w:val="28"/>
          <w:szCs w:val="28"/>
        </w:rPr>
        <w:tab/>
        <w:t>La ședință sunt prezenţi: Osv</w:t>
      </w:r>
      <w:r w:rsidRPr="00B62609">
        <w:rPr>
          <w:rFonts w:ascii="Times New Roman" w:hAnsi="Times New Roman" w:cs="Times New Roman"/>
          <w:sz w:val="28"/>
          <w:szCs w:val="28"/>
          <w:lang w:val="hu-HU"/>
        </w:rPr>
        <w:t>á</w:t>
      </w:r>
      <w:r w:rsidRPr="00B62609">
        <w:rPr>
          <w:rFonts w:ascii="Times New Roman" w:hAnsi="Times New Roman" w:cs="Times New Roman"/>
          <w:sz w:val="28"/>
          <w:szCs w:val="28"/>
        </w:rPr>
        <w:t>th Csaba,primarul  comunei Acățari  și următori consilieri locali:  Bálint Barnabás Attila,Görgényi István, Krizsán Tibor,Magyari Tünde, Márton Sándor,Máthé Delinke,Moldovan Zsolt,Nagy Dalma-Imola, Nam Vilmos,Pécsi Domokos, Veres Gaspar Ervin.</w:t>
      </w:r>
      <w:r w:rsidRPr="00B62609">
        <w:rPr>
          <w:rFonts w:ascii="Times New Roman" w:hAnsi="Times New Roman" w:cs="Times New Roman"/>
          <w:sz w:val="28"/>
          <w:szCs w:val="28"/>
        </w:rPr>
        <w:tab/>
      </w:r>
    </w:p>
    <w:p w14:paraId="56192E8B" w14:textId="6EED73CB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ab/>
        <w:t>Lipse</w:t>
      </w:r>
      <w:r w:rsidR="00310E78">
        <w:rPr>
          <w:rFonts w:ascii="Times New Roman" w:hAnsi="Times New Roman" w:cs="Times New Roman"/>
          <w:sz w:val="28"/>
          <w:szCs w:val="28"/>
        </w:rPr>
        <w:t xml:space="preserve">sc: Csaszar Attila și </w:t>
      </w:r>
      <w:r w:rsidRPr="00B62609">
        <w:rPr>
          <w:rFonts w:ascii="Times New Roman" w:hAnsi="Times New Roman" w:cs="Times New Roman"/>
          <w:sz w:val="28"/>
          <w:szCs w:val="28"/>
        </w:rPr>
        <w:t xml:space="preserve"> Imreh Ferenci Réka-Bernadett</w:t>
      </w:r>
    </w:p>
    <w:p w14:paraId="5C2A7DCC" w14:textId="63094505" w:rsidR="00B62609" w:rsidRPr="00B62609" w:rsidRDefault="00B62609" w:rsidP="00310E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B62609">
        <w:rPr>
          <w:rFonts w:ascii="Times New Roman" w:hAnsi="Times New Roman" w:cs="Times New Roman"/>
          <w:sz w:val="28"/>
          <w:szCs w:val="28"/>
        </w:rPr>
        <w:t xml:space="preserve">La ședință participă: Toth Emese Zsuzsánna, administrator public, Fülöp </w:t>
      </w:r>
    </w:p>
    <w:p w14:paraId="6528E428" w14:textId="77777777" w:rsidR="00B62609" w:rsidRPr="00B62609" w:rsidRDefault="00B62609" w:rsidP="00310E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Președinte de ședință:Bună dimineața</w:t>
      </w:r>
    </w:p>
    <w:p w14:paraId="6CC5C5B2" w14:textId="77777777" w:rsidR="00B62609" w:rsidRPr="00B62609" w:rsidRDefault="00B62609" w:rsidP="00310E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 xml:space="preserve">Înainte de a citi punctele de pe ordinea de zi, doresc să întreb dacă cineva are comentarii sau observații legate de ultima ședință a consiliului. Dacă da, vă rog să le semnalați. </w:t>
      </w:r>
    </w:p>
    <w:p w14:paraId="7A3E1E78" w14:textId="154A1B52" w:rsidR="00B62609" w:rsidRPr="00B62609" w:rsidRDefault="00B62609" w:rsidP="00310E7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Dacă nu sunt observații supun la vot conținutul precesului verbal al ședinței din  2</w:t>
      </w:r>
      <w:r w:rsidR="003F3A88">
        <w:rPr>
          <w:rFonts w:ascii="Times New Roman" w:hAnsi="Times New Roman" w:cs="Times New Roman"/>
          <w:sz w:val="28"/>
          <w:szCs w:val="28"/>
        </w:rPr>
        <w:t xml:space="preserve">5 martie </w:t>
      </w:r>
      <w:r w:rsidRPr="00B62609">
        <w:rPr>
          <w:rFonts w:ascii="Times New Roman" w:hAnsi="Times New Roman" w:cs="Times New Roman"/>
          <w:sz w:val="28"/>
          <w:szCs w:val="28"/>
        </w:rPr>
        <w:t>2025.</w:t>
      </w:r>
    </w:p>
    <w:p w14:paraId="3C23D582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5C2B611" w14:textId="299BAF3A" w:rsidR="00B62609" w:rsidRPr="00B62609" w:rsidRDefault="00B62609" w:rsidP="003F3A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Pentru  : 1</w:t>
      </w:r>
      <w:r w:rsidR="003F3A88">
        <w:rPr>
          <w:rFonts w:ascii="Times New Roman" w:hAnsi="Times New Roman" w:cs="Times New Roman"/>
          <w:sz w:val="28"/>
          <w:szCs w:val="28"/>
        </w:rPr>
        <w:t>1</w:t>
      </w:r>
      <w:r w:rsidRPr="00B62609">
        <w:rPr>
          <w:rFonts w:ascii="Times New Roman" w:hAnsi="Times New Roman" w:cs="Times New Roman"/>
          <w:sz w:val="28"/>
          <w:szCs w:val="28"/>
        </w:rPr>
        <w:t xml:space="preserve"> (Bálint Barnabás Attila,Görgényi István , Krizsán Tibor,Magyari Tünde, Márton Sándor,Máthé Delinke,Moldovan Zsolt,Nagy Dalma-Imola,Nám Vilmos,Pécsi Domokos, Veres Gaspar Ervin.)</w:t>
      </w:r>
    </w:p>
    <w:p w14:paraId="59CF7BD9" w14:textId="77777777" w:rsidR="00B62609" w:rsidRPr="00B62609" w:rsidRDefault="00B62609" w:rsidP="003F3A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Împotrivă:   0</w:t>
      </w:r>
    </w:p>
    <w:p w14:paraId="07CF0D3A" w14:textId="77777777" w:rsidR="00B62609" w:rsidRPr="00B62609" w:rsidRDefault="00B62609" w:rsidP="003F3A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Abţineri:      0</w:t>
      </w:r>
    </w:p>
    <w:p w14:paraId="2D3B11EF" w14:textId="77777777" w:rsidR="00B62609" w:rsidRPr="00B62609" w:rsidRDefault="00B62609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E2BC994" w14:textId="5643749E" w:rsidR="00B62609" w:rsidRPr="00B62609" w:rsidRDefault="00B62609" w:rsidP="003F3A8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Președinte de ședință: Vă prezint ordinea de zi pentru ședința de azi ,care cuprinde următo</w:t>
      </w:r>
      <w:r w:rsidR="003F3A88">
        <w:rPr>
          <w:rFonts w:ascii="Times New Roman" w:hAnsi="Times New Roman" w:cs="Times New Roman"/>
          <w:sz w:val="28"/>
          <w:szCs w:val="28"/>
        </w:rPr>
        <w:t>rul</w:t>
      </w:r>
      <w:r w:rsidRPr="00B62609">
        <w:rPr>
          <w:rFonts w:ascii="Times New Roman" w:hAnsi="Times New Roman" w:cs="Times New Roman"/>
          <w:sz w:val="28"/>
          <w:szCs w:val="28"/>
        </w:rPr>
        <w:t xml:space="preserve"> punct:</w:t>
      </w:r>
    </w:p>
    <w:p w14:paraId="74F7429F" w14:textId="77777777" w:rsidR="004F01DE" w:rsidRDefault="004F01DE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75C1FFC" w14:textId="77777777" w:rsidR="000A5694" w:rsidRPr="000A5694" w:rsidRDefault="000A5694" w:rsidP="000A5694">
      <w:pPr>
        <w:pStyle w:val="BodyText"/>
        <w:ind w:right="448" w:firstLine="708"/>
      </w:pPr>
      <w:r>
        <w:tab/>
      </w:r>
      <w:r w:rsidRPr="00EB445C">
        <w:rPr>
          <w:rFonts w:ascii="Arial" w:hAnsi="Arial" w:cs="Arial"/>
          <w:bCs/>
          <w:sz w:val="32"/>
          <w:szCs w:val="32"/>
        </w:rPr>
        <w:t>1</w:t>
      </w:r>
      <w:r w:rsidRPr="000A5694">
        <w:rPr>
          <w:bCs/>
        </w:rPr>
        <w:t xml:space="preserve">.Proiect de hotărâre </w:t>
      </w:r>
      <w:r w:rsidRPr="000A5694">
        <w:t>privind</w:t>
      </w:r>
      <w:r w:rsidRPr="000A5694">
        <w:rPr>
          <w:spacing w:val="-10"/>
        </w:rPr>
        <w:t xml:space="preserve"> </w:t>
      </w:r>
      <w:r w:rsidRPr="000A5694">
        <w:t>aprobarea</w:t>
      </w:r>
      <w:r w:rsidRPr="000A5694">
        <w:rPr>
          <w:spacing w:val="-8"/>
        </w:rPr>
        <w:t xml:space="preserve"> </w:t>
      </w:r>
      <w:r w:rsidRPr="000A5694">
        <w:t>colaborării</w:t>
      </w:r>
      <w:r w:rsidRPr="000A5694">
        <w:rPr>
          <w:spacing w:val="-7"/>
        </w:rPr>
        <w:t xml:space="preserve"> </w:t>
      </w:r>
      <w:r w:rsidRPr="000A5694">
        <w:t>interinstituționale</w:t>
      </w:r>
      <w:r w:rsidRPr="000A5694">
        <w:rPr>
          <w:spacing w:val="-8"/>
        </w:rPr>
        <w:t xml:space="preserve"> </w:t>
      </w:r>
      <w:r w:rsidRPr="000A5694">
        <w:t>din</w:t>
      </w:r>
      <w:r w:rsidRPr="000A5694">
        <w:rPr>
          <w:spacing w:val="-8"/>
        </w:rPr>
        <w:t xml:space="preserve"> </w:t>
      </w:r>
      <w:r w:rsidRPr="000A5694">
        <w:t>cadrul</w:t>
      </w:r>
      <w:r w:rsidRPr="000A5694">
        <w:rPr>
          <w:spacing w:val="-6"/>
        </w:rPr>
        <w:t xml:space="preserve"> </w:t>
      </w:r>
      <w:r w:rsidRPr="000A5694">
        <w:rPr>
          <w:spacing w:val="-2"/>
        </w:rPr>
        <w:t xml:space="preserve">proiectului </w:t>
      </w:r>
      <w:r w:rsidRPr="000A5694">
        <w:rPr>
          <w:i/>
        </w:rPr>
        <w:t>„Furnizare de servicii integrate în comunitățile rurale – facilitarea</w:t>
      </w:r>
      <w:r w:rsidRPr="000A5694">
        <w:rPr>
          <w:i/>
          <w:spacing w:val="40"/>
        </w:rPr>
        <w:t xml:space="preserve"> </w:t>
      </w:r>
      <w:r w:rsidRPr="000A5694">
        <w:rPr>
          <w:i/>
        </w:rPr>
        <w:t>accesului</w:t>
      </w:r>
      <w:r w:rsidRPr="000A5694">
        <w:rPr>
          <w:i/>
          <w:spacing w:val="-3"/>
        </w:rPr>
        <w:t xml:space="preserve"> </w:t>
      </w:r>
      <w:r w:rsidRPr="000A5694">
        <w:rPr>
          <w:i/>
        </w:rPr>
        <w:t>persoanelor</w:t>
      </w:r>
      <w:r w:rsidRPr="000A5694">
        <w:rPr>
          <w:i/>
          <w:spacing w:val="-4"/>
        </w:rPr>
        <w:t xml:space="preserve"> </w:t>
      </w:r>
      <w:r w:rsidRPr="000A5694">
        <w:rPr>
          <w:i/>
        </w:rPr>
        <w:t>vulnerabile</w:t>
      </w:r>
      <w:r w:rsidRPr="000A5694">
        <w:rPr>
          <w:i/>
          <w:spacing w:val="-3"/>
        </w:rPr>
        <w:t xml:space="preserve"> </w:t>
      </w:r>
      <w:r w:rsidRPr="000A5694">
        <w:rPr>
          <w:i/>
        </w:rPr>
        <w:t>la</w:t>
      </w:r>
      <w:r w:rsidRPr="000A5694">
        <w:rPr>
          <w:i/>
          <w:spacing w:val="-4"/>
        </w:rPr>
        <w:t xml:space="preserve"> </w:t>
      </w:r>
      <w:r w:rsidRPr="000A5694">
        <w:rPr>
          <w:i/>
        </w:rPr>
        <w:t>servicii</w:t>
      </w:r>
      <w:r w:rsidRPr="000A5694">
        <w:rPr>
          <w:i/>
          <w:spacing w:val="-3"/>
        </w:rPr>
        <w:t xml:space="preserve"> </w:t>
      </w:r>
      <w:r w:rsidRPr="000A5694">
        <w:rPr>
          <w:i/>
        </w:rPr>
        <w:t>de</w:t>
      </w:r>
      <w:r w:rsidRPr="000A5694">
        <w:rPr>
          <w:i/>
          <w:spacing w:val="-4"/>
        </w:rPr>
        <w:t xml:space="preserve"> </w:t>
      </w:r>
      <w:r w:rsidRPr="000A5694">
        <w:rPr>
          <w:i/>
        </w:rPr>
        <w:t>bază</w:t>
      </w:r>
      <w:r w:rsidRPr="000A5694">
        <w:rPr>
          <w:i/>
          <w:spacing w:val="-4"/>
        </w:rPr>
        <w:t xml:space="preserve"> </w:t>
      </w:r>
      <w:r w:rsidRPr="000A5694">
        <w:rPr>
          <w:i/>
        </w:rPr>
        <w:t>eficiente</w:t>
      </w:r>
      <w:r w:rsidRPr="000A5694">
        <w:rPr>
          <w:i/>
          <w:spacing w:val="-3"/>
        </w:rPr>
        <w:t xml:space="preserve"> </w:t>
      </w:r>
      <w:r w:rsidRPr="000A5694">
        <w:rPr>
          <w:i/>
        </w:rPr>
        <w:t>și</w:t>
      </w:r>
      <w:r w:rsidRPr="000A5694">
        <w:rPr>
          <w:i/>
          <w:spacing w:val="-3"/>
        </w:rPr>
        <w:t xml:space="preserve"> </w:t>
      </w:r>
      <w:r w:rsidRPr="000A5694">
        <w:rPr>
          <w:i/>
        </w:rPr>
        <w:t>de</w:t>
      </w:r>
      <w:r w:rsidRPr="000A5694">
        <w:rPr>
          <w:i/>
          <w:spacing w:val="-5"/>
        </w:rPr>
        <w:t xml:space="preserve"> </w:t>
      </w:r>
      <w:r w:rsidRPr="000A5694">
        <w:rPr>
          <w:i/>
        </w:rPr>
        <w:t>calitate”.</w:t>
      </w:r>
    </w:p>
    <w:p w14:paraId="7443B347" w14:textId="77777777" w:rsidR="000A5694" w:rsidRDefault="000A5694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694">
        <w:rPr>
          <w:rFonts w:ascii="Times New Roman" w:hAnsi="Times New Roman" w:cs="Times New Roman"/>
          <w:bCs/>
          <w:sz w:val="28"/>
          <w:szCs w:val="28"/>
        </w:rPr>
        <w:tab/>
      </w:r>
      <w:r w:rsidRPr="000A5694">
        <w:rPr>
          <w:rFonts w:ascii="Times New Roman" w:hAnsi="Times New Roman" w:cs="Times New Roman"/>
          <w:bCs/>
          <w:sz w:val="28"/>
          <w:szCs w:val="28"/>
        </w:rPr>
        <w:tab/>
      </w:r>
      <w:r w:rsidRPr="000A5694">
        <w:rPr>
          <w:rFonts w:ascii="Times New Roman" w:hAnsi="Times New Roman" w:cs="Times New Roman"/>
          <w:bCs/>
          <w:sz w:val="28"/>
          <w:szCs w:val="28"/>
        </w:rPr>
        <w:tab/>
      </w:r>
      <w:r w:rsidRPr="000A5694">
        <w:rPr>
          <w:rFonts w:ascii="Times New Roman" w:hAnsi="Times New Roman" w:cs="Times New Roman"/>
          <w:bCs/>
          <w:sz w:val="28"/>
          <w:szCs w:val="28"/>
        </w:rPr>
        <w:tab/>
      </w:r>
      <w:r w:rsidRPr="000A5694">
        <w:rPr>
          <w:rFonts w:ascii="Times New Roman" w:hAnsi="Times New Roman" w:cs="Times New Roman"/>
          <w:bCs/>
          <w:sz w:val="28"/>
          <w:szCs w:val="28"/>
        </w:rPr>
        <w:tab/>
      </w:r>
      <w:r w:rsidRPr="000A5694">
        <w:rPr>
          <w:rFonts w:ascii="Times New Roman" w:hAnsi="Times New Roman" w:cs="Times New Roman"/>
          <w:bCs/>
          <w:sz w:val="28"/>
          <w:szCs w:val="28"/>
        </w:rPr>
        <w:tab/>
        <w:t>Inițiator:Primarul comunei</w:t>
      </w:r>
    </w:p>
    <w:p w14:paraId="4AE58292" w14:textId="784D6AB8" w:rsidR="00275E6B" w:rsidRDefault="00275E6B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>Fulop Robert:</w:t>
      </w:r>
      <w:r w:rsidR="007770DA">
        <w:rPr>
          <w:rFonts w:ascii="Times New Roman" w:hAnsi="Times New Roman" w:cs="Times New Roman"/>
          <w:bCs/>
          <w:sz w:val="28"/>
          <w:szCs w:val="28"/>
        </w:rPr>
        <w:t xml:space="preserve">este vorba despre depunerea unui proiect nou, care se va derula prin </w:t>
      </w:r>
      <w:r w:rsidR="009C32BF" w:rsidRPr="009C32BF">
        <w:rPr>
          <w:rFonts w:ascii="Times New Roman" w:hAnsi="Times New Roman" w:cs="Times New Roman"/>
          <w:bCs/>
          <w:sz w:val="28"/>
          <w:szCs w:val="28"/>
        </w:rPr>
        <w:t>Ministerul Muncii, Familiei, Tineretului şi Solidarităţii Sociale</w:t>
      </w:r>
      <w:r w:rsidR="0050096E">
        <w:rPr>
          <w:rFonts w:ascii="Times New Roman" w:hAnsi="Times New Roman" w:cs="Times New Roman"/>
          <w:bCs/>
          <w:sz w:val="28"/>
          <w:szCs w:val="28"/>
        </w:rPr>
        <w:t xml:space="preserve"> și se finațează din fonduri UE.</w:t>
      </w:r>
    </w:p>
    <w:p w14:paraId="2D4B2065" w14:textId="7FBC0F8A" w:rsidR="0050096E" w:rsidRDefault="0050096E" w:rsidP="0050096E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Este un proiect de asistență socială-</w:t>
      </w:r>
      <w:r w:rsidRPr="005009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0096E">
        <w:rPr>
          <w:rFonts w:ascii="Times New Roman" w:hAnsi="Times New Roman" w:cs="Times New Roman"/>
          <w:bCs/>
          <w:sz w:val="28"/>
          <w:szCs w:val="28"/>
        </w:rPr>
        <w:t>Programul Incluziune și Demnitate Socială</w:t>
      </w:r>
      <w:r>
        <w:rPr>
          <w:rFonts w:ascii="Times New Roman" w:hAnsi="Times New Roman" w:cs="Times New Roman"/>
          <w:bCs/>
          <w:sz w:val="28"/>
          <w:szCs w:val="28"/>
        </w:rPr>
        <w:t>-, prin care s e vor sprijinii</w:t>
      </w:r>
      <w:r w:rsidRPr="0050096E">
        <w:rPr>
          <w:rFonts w:ascii="Times New Roman" w:hAnsi="Times New Roman" w:cs="Times New Roman"/>
          <w:bCs/>
          <w:sz w:val="28"/>
          <w:szCs w:val="28"/>
        </w:rPr>
        <w:t xml:space="preserve"> 2.000 de comune din România pentru înființarea de echipe comunitare integrate (ECI), care vor oferi servicii sociale, educaționale și medicale în sprijinul persoanelor vulnerabile.</w:t>
      </w:r>
    </w:p>
    <w:p w14:paraId="0AE1FACB" w14:textId="3D0D23ED" w:rsidR="0050096E" w:rsidRPr="00000A76" w:rsidRDefault="0050096E" w:rsidP="00000A76">
      <w:pPr>
        <w:ind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A76">
        <w:rPr>
          <w:rFonts w:ascii="Times New Roman" w:hAnsi="Times New Roman" w:cs="Times New Roman"/>
          <w:bCs/>
          <w:sz w:val="28"/>
          <w:szCs w:val="28"/>
        </w:rPr>
        <w:t>Prin proiect vor fi angajați 3 specialiști în domeniul asistenței sociale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:</w:t>
      </w:r>
      <w:r w:rsidR="00000A76" w:rsidRPr="00000A76">
        <w:rPr>
          <w:rFonts w:ascii="Helvetica" w:hAnsi="Helvetica" w:cs="Times New Roman"/>
          <w:color w:val="000000"/>
          <w:kern w:val="0"/>
          <w:sz w:val="24"/>
          <w:szCs w:val="24"/>
          <w:lang w:eastAsia="ro-RO"/>
        </w:rPr>
        <w:t xml:space="preserve"> 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asistent social, asistent medical comunitar, consilier școlar etc.</w:t>
      </w:r>
    </w:p>
    <w:p w14:paraId="6321F524" w14:textId="4219A1C9" w:rsidR="00000A76" w:rsidRDefault="00E30826" w:rsidP="00000A76">
      <w:pPr>
        <w:ind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0A76">
        <w:rPr>
          <w:rFonts w:ascii="Times New Roman" w:hAnsi="Times New Roman" w:cs="Times New Roman"/>
          <w:bCs/>
          <w:sz w:val="28"/>
          <w:szCs w:val="28"/>
        </w:rPr>
        <w:t>P</w:t>
      </w:r>
      <w:r w:rsidR="0050096E" w:rsidRPr="00000A76">
        <w:rPr>
          <w:rFonts w:ascii="Times New Roman" w:hAnsi="Times New Roman" w:cs="Times New Roman"/>
          <w:bCs/>
          <w:sz w:val="28"/>
          <w:szCs w:val="28"/>
        </w:rPr>
        <w:t>rin acest program</w:t>
      </w:r>
      <w:r w:rsidRPr="00000A76">
        <w:rPr>
          <w:rFonts w:ascii="Times New Roman" w:hAnsi="Times New Roman" w:cs="Times New Roman"/>
          <w:bCs/>
          <w:sz w:val="28"/>
          <w:szCs w:val="28"/>
        </w:rPr>
        <w:t xml:space="preserve"> se vor putea </w:t>
      </w:r>
      <w:r w:rsidR="0050096E" w:rsidRPr="00000A76">
        <w:rPr>
          <w:rFonts w:ascii="Times New Roman" w:hAnsi="Times New Roman" w:cs="Times New Roman"/>
          <w:bCs/>
          <w:sz w:val="28"/>
          <w:szCs w:val="28"/>
        </w:rPr>
        <w:t xml:space="preserve"> să se obțină echipamente</w:t>
      </w:r>
      <w:r w:rsidRPr="00000A76">
        <w:rPr>
          <w:rFonts w:ascii="Times New Roman" w:hAnsi="Times New Roman" w:cs="Times New Roman"/>
          <w:bCs/>
          <w:sz w:val="28"/>
          <w:szCs w:val="28"/>
        </w:rPr>
        <w:t xml:space="preserve"> necesare asistenței sociale</w:t>
      </w:r>
      <w:r w:rsidR="0050096E" w:rsidRPr="00000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A76">
        <w:rPr>
          <w:rFonts w:ascii="Times New Roman" w:hAnsi="Times New Roman" w:cs="Times New Roman"/>
          <w:bCs/>
          <w:sz w:val="28"/>
          <w:szCs w:val="28"/>
        </w:rPr>
        <w:t>- d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otarea cu echipamente IT, mobilier, kituri profesionale</w:t>
      </w:r>
      <w:r w:rsidR="00000A76">
        <w:rPr>
          <w:rFonts w:ascii="Times New Roman" w:hAnsi="Times New Roman" w:cs="Times New Roman"/>
          <w:bCs/>
          <w:sz w:val="28"/>
          <w:szCs w:val="28"/>
        </w:rPr>
        <w:t>,etc.</w:t>
      </w:r>
      <w:r w:rsidR="0050096E">
        <w:rPr>
          <w:rFonts w:ascii="Times New Roman" w:hAnsi="Times New Roman" w:cs="Times New Roman"/>
          <w:bCs/>
          <w:sz w:val="28"/>
          <w:szCs w:val="28"/>
        </w:rPr>
        <w:t xml:space="preserve">, se vor </w:t>
      </w:r>
      <w:r>
        <w:rPr>
          <w:rFonts w:ascii="Times New Roman" w:hAnsi="Times New Roman" w:cs="Times New Roman"/>
          <w:bCs/>
          <w:sz w:val="28"/>
          <w:szCs w:val="28"/>
        </w:rPr>
        <w:t xml:space="preserve">desfășura programe de instruire, se vor efectua </w:t>
      </w:r>
      <w:r w:rsidR="005D0335">
        <w:rPr>
          <w:rFonts w:ascii="Times New Roman" w:hAnsi="Times New Roman" w:cs="Times New Roman"/>
          <w:bCs/>
          <w:sz w:val="28"/>
          <w:szCs w:val="28"/>
        </w:rPr>
        <w:t>sondaje,se va contribui</w:t>
      </w:r>
      <w:r w:rsidR="00000A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 xml:space="preserve">la 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facilitarea accesului persoanelor vulnerabile la servicii de bază eficiente și de calitate</w:t>
      </w:r>
      <w:r w:rsidR="00000A76">
        <w:rPr>
          <w:rFonts w:ascii="Times New Roman" w:hAnsi="Times New Roman" w:cs="Times New Roman"/>
          <w:bCs/>
          <w:sz w:val="28"/>
          <w:szCs w:val="28"/>
        </w:rPr>
        <w:t>, se va putea efectua i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ntervenții directe în comunitate (reparații locuințe, pachete alimentare, consiliere, sprijin pentru ocupare)</w:t>
      </w:r>
      <w:r w:rsidR="00000A76">
        <w:rPr>
          <w:rFonts w:ascii="Times New Roman" w:hAnsi="Times New Roman" w:cs="Times New Roman"/>
          <w:bCs/>
          <w:sz w:val="28"/>
          <w:szCs w:val="28"/>
        </w:rPr>
        <w:t xml:space="preserve">,se va putea realiza </w:t>
      </w:r>
      <w:r w:rsidR="00000A76" w:rsidRPr="00000A76">
        <w:rPr>
          <w:rFonts w:ascii="Times New Roman" w:hAnsi="Times New Roman" w:cs="Times New Roman"/>
          <w:bCs/>
          <w:sz w:val="28"/>
          <w:szCs w:val="28"/>
        </w:rPr>
        <w:t>îngrijirea bătrânilor la domiciliu</w:t>
      </w:r>
      <w:r w:rsidR="00000A76">
        <w:rPr>
          <w:rFonts w:ascii="Times New Roman" w:hAnsi="Times New Roman" w:cs="Times New Roman"/>
          <w:bCs/>
          <w:sz w:val="28"/>
          <w:szCs w:val="28"/>
        </w:rPr>
        <w:t>, etc.,în consecință ester un proiect complex.</w:t>
      </w:r>
    </w:p>
    <w:p w14:paraId="2360C441" w14:textId="671DA068" w:rsidR="00F71BBB" w:rsidRPr="00F71BBB" w:rsidRDefault="00F71BBB" w:rsidP="00F71BBB">
      <w:pPr>
        <w:ind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BBB">
        <w:rPr>
          <w:rFonts w:ascii="Times New Roman" w:hAnsi="Times New Roman" w:cs="Times New Roman"/>
          <w:bCs/>
          <w:sz w:val="28"/>
          <w:szCs w:val="28"/>
        </w:rPr>
        <w:t>Sunt finațate:</w:t>
      </w:r>
    </w:p>
    <w:p w14:paraId="4FE9F7B0" w14:textId="77777777" w:rsidR="00F71BBB" w:rsidRPr="00F71BBB" w:rsidRDefault="00F71BBB" w:rsidP="00F71BBB">
      <w:pPr>
        <w:numPr>
          <w:ilvl w:val="0"/>
          <w:numId w:val="4"/>
        </w:numPr>
        <w:ind w:right="-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BBB">
        <w:rPr>
          <w:rFonts w:ascii="Times New Roman" w:hAnsi="Times New Roman" w:cs="Times New Roman"/>
          <w:bCs/>
          <w:sz w:val="28"/>
          <w:szCs w:val="28"/>
        </w:rPr>
        <w:t>Amenajare și dotare spațiu echipă integrată (48.000 lei/UAT)</w:t>
      </w:r>
    </w:p>
    <w:p w14:paraId="5DD00483" w14:textId="77777777" w:rsidR="00F71BBB" w:rsidRPr="00F71BBB" w:rsidRDefault="00F71BBB" w:rsidP="00F71BBB">
      <w:pPr>
        <w:numPr>
          <w:ilvl w:val="0"/>
          <w:numId w:val="4"/>
        </w:numPr>
        <w:ind w:right="-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BBB">
        <w:rPr>
          <w:rFonts w:ascii="Times New Roman" w:hAnsi="Times New Roman" w:cs="Times New Roman"/>
          <w:bCs/>
          <w:sz w:val="28"/>
          <w:szCs w:val="28"/>
        </w:rPr>
        <w:t>Salarii specialiști pentru toată perioada proiectului (până la 914.000 lei/UAT)</w:t>
      </w:r>
    </w:p>
    <w:p w14:paraId="1049ECCF" w14:textId="77777777" w:rsidR="00F71BBB" w:rsidRPr="00F71BBB" w:rsidRDefault="00F71BBB" w:rsidP="00F71BBB">
      <w:pPr>
        <w:numPr>
          <w:ilvl w:val="0"/>
          <w:numId w:val="4"/>
        </w:numPr>
        <w:ind w:right="-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BBB">
        <w:rPr>
          <w:rFonts w:ascii="Times New Roman" w:hAnsi="Times New Roman" w:cs="Times New Roman"/>
          <w:bCs/>
          <w:sz w:val="28"/>
          <w:szCs w:val="28"/>
        </w:rPr>
        <w:t>Echipamente IT și profesionale (50.000 lei/UAT)</w:t>
      </w:r>
    </w:p>
    <w:p w14:paraId="7F0E8528" w14:textId="77777777" w:rsidR="00F71BBB" w:rsidRPr="00F71BBB" w:rsidRDefault="00F71BBB" w:rsidP="00F71BBB">
      <w:pPr>
        <w:numPr>
          <w:ilvl w:val="0"/>
          <w:numId w:val="4"/>
        </w:numPr>
        <w:ind w:right="-4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1BBB">
        <w:rPr>
          <w:rFonts w:ascii="Times New Roman" w:hAnsi="Times New Roman" w:cs="Times New Roman"/>
          <w:bCs/>
          <w:sz w:val="28"/>
          <w:szCs w:val="28"/>
        </w:rPr>
        <w:t>Sprijin pentru persoane vulnerabile (locuințe: 500.000 lei, alimente: 248.000 lei/UAT)</w:t>
      </w:r>
    </w:p>
    <w:p w14:paraId="53114687" w14:textId="10052232" w:rsidR="00F71BBB" w:rsidRPr="00343860" w:rsidRDefault="00F71BBB" w:rsidP="00343860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Perioada de implementare</w:t>
      </w:r>
      <w:r w:rsidRPr="00343860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343860">
        <w:rPr>
          <w:rFonts w:ascii="Times New Roman" w:hAnsi="Times New Roman" w:cs="Times New Roman"/>
          <w:sz w:val="28"/>
          <w:szCs w:val="28"/>
        </w:rPr>
        <w:t xml:space="preserve"> Ianuarie 2025 – Decembrie 2029</w:t>
      </w:r>
      <w:r w:rsidRPr="00343860">
        <w:rPr>
          <w:rFonts w:ascii="Times New Roman" w:hAnsi="Times New Roman" w:cs="Times New Roman"/>
          <w:sz w:val="28"/>
          <w:szCs w:val="28"/>
        </w:rPr>
        <w:t xml:space="preserve">, dar  </w:t>
      </w:r>
      <w:r w:rsidRPr="00343860">
        <w:rPr>
          <w:rFonts w:ascii="Times New Roman" w:hAnsi="Times New Roman" w:cs="Times New Roman"/>
          <w:sz w:val="28"/>
          <w:szCs w:val="28"/>
        </w:rPr>
        <w:t>Primăriile participante se angajează să mențină echipa comunitară funcțională timp de 5 ani după finalizarea proiectului (2030–2034).</w:t>
      </w:r>
    </w:p>
    <w:p w14:paraId="02C1F363" w14:textId="07743564" w:rsidR="00F71BBB" w:rsidRPr="00343860" w:rsidRDefault="00F71BBB" w:rsidP="00343860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>Având în vedere că în curând se preconizează semnarea contractului pentru construirea</w:t>
      </w:r>
      <w:r w:rsidR="00972B68" w:rsidRPr="00343860">
        <w:rPr>
          <w:rFonts w:ascii="Times New Roman" w:hAnsi="Times New Roman" w:cs="Times New Roman"/>
          <w:sz w:val="28"/>
          <w:szCs w:val="28"/>
        </w:rPr>
        <w:t xml:space="preserve"> Centrului de zi pentru copii în comuna Acățari,județul Mureș, acest proiect se</w:t>
      </w:r>
      <w:r w:rsidR="008B45E9" w:rsidRPr="00343860">
        <w:rPr>
          <w:rFonts w:ascii="Times New Roman" w:hAnsi="Times New Roman" w:cs="Times New Roman"/>
          <w:sz w:val="28"/>
          <w:szCs w:val="28"/>
        </w:rPr>
        <w:t xml:space="preserve"> poate combina cu activitatea Centrului de zi.</w:t>
      </w:r>
    </w:p>
    <w:p w14:paraId="40ACBF58" w14:textId="7230DA65" w:rsidR="008B45E9" w:rsidRPr="00343860" w:rsidRDefault="008B45E9" w:rsidP="00343860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>Pentru a putea depune proiectul pentru finanțare este nevoie de hotărârea Consiliului local:</w:t>
      </w:r>
    </w:p>
    <w:p w14:paraId="7FB832D5" w14:textId="7662F391" w:rsidR="008B45E9" w:rsidRPr="00343860" w:rsidRDefault="008B45E9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>Primar:după cum v-am mai explicat avem multe proiecte în derulare, dar în cazul în care se ivește posibilitatea  , cum este în cazul de față, nu ratăm ocazia de a depune noi proiecte.</w:t>
      </w:r>
    </w:p>
    <w:p w14:paraId="6C188211" w14:textId="6A64A303" w:rsidR="008B45E9" w:rsidRPr="00343860" w:rsidRDefault="008B45E9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>Având în vedere că la depunerea  acestui proiect</w:t>
      </w:r>
      <w:r w:rsidR="00FF2B90" w:rsidRPr="00343860">
        <w:rPr>
          <w:rFonts w:ascii="Times New Roman" w:hAnsi="Times New Roman" w:cs="Times New Roman"/>
          <w:sz w:val="28"/>
          <w:szCs w:val="28"/>
        </w:rPr>
        <w:t>, pentru finanțare se aplică regula ”primul venit,primul servit” am convocat ședința de îndată de azi</w:t>
      </w:r>
      <w:r w:rsidR="00343860">
        <w:rPr>
          <w:rFonts w:ascii="Times New Roman" w:hAnsi="Times New Roman" w:cs="Times New Roman"/>
          <w:sz w:val="28"/>
          <w:szCs w:val="28"/>
        </w:rPr>
        <w:t>, ca proiectul să fie depus repede.</w:t>
      </w:r>
    </w:p>
    <w:p w14:paraId="0E4A433A" w14:textId="422536A0" w:rsidR="00FF2B90" w:rsidRPr="00343860" w:rsidRDefault="00FF2B90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 xml:space="preserve">După cum a arătat și șeful serviciului buget finanțe, acest proiect se pretează cu </w:t>
      </w:r>
      <w:r w:rsidRPr="00343860">
        <w:rPr>
          <w:rFonts w:ascii="Times New Roman" w:hAnsi="Times New Roman" w:cs="Times New Roman"/>
          <w:sz w:val="28"/>
          <w:szCs w:val="28"/>
        </w:rPr>
        <w:t>construirea Centrului de zi pentru copii în comuna Acățari</w:t>
      </w:r>
      <w:r w:rsidRPr="00343860">
        <w:rPr>
          <w:rFonts w:ascii="Times New Roman" w:hAnsi="Times New Roman" w:cs="Times New Roman"/>
          <w:sz w:val="28"/>
          <w:szCs w:val="28"/>
        </w:rPr>
        <w:t>.</w:t>
      </w:r>
    </w:p>
    <w:p w14:paraId="7955205C" w14:textId="6278E178" w:rsidR="00343860" w:rsidRDefault="00343860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860">
        <w:rPr>
          <w:rFonts w:ascii="Times New Roman" w:hAnsi="Times New Roman" w:cs="Times New Roman"/>
          <w:sz w:val="28"/>
          <w:szCs w:val="28"/>
        </w:rPr>
        <w:t>Mai avem și avantajul că în Instituția noastră desfășoară activitatea și asistenți comunitari.</w:t>
      </w:r>
    </w:p>
    <w:p w14:paraId="1CDDC74F" w14:textId="362678D3" w:rsidR="00343860" w:rsidRDefault="00343860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Menționeaz că p</w:t>
      </w:r>
      <w:r w:rsidRPr="00343860">
        <w:rPr>
          <w:rFonts w:ascii="Times New Roman" w:hAnsi="Times New Roman" w:cs="Times New Roman"/>
          <w:sz w:val="28"/>
          <w:szCs w:val="28"/>
        </w:rPr>
        <w:t xml:space="preserve">articiparea </w:t>
      </w:r>
      <w:r>
        <w:rPr>
          <w:rFonts w:ascii="Times New Roman" w:hAnsi="Times New Roman" w:cs="Times New Roman"/>
          <w:sz w:val="28"/>
          <w:szCs w:val="28"/>
        </w:rPr>
        <w:t>la acest proiect</w:t>
      </w:r>
      <w:r w:rsidRPr="00343860">
        <w:rPr>
          <w:rFonts w:ascii="Times New Roman" w:hAnsi="Times New Roman" w:cs="Times New Roman"/>
          <w:sz w:val="28"/>
          <w:szCs w:val="28"/>
        </w:rPr>
        <w:t xml:space="preserve"> este o oportunitate unică pentru comun</w:t>
      </w:r>
      <w:r>
        <w:rPr>
          <w:rFonts w:ascii="Times New Roman" w:hAnsi="Times New Roman" w:cs="Times New Roman"/>
          <w:sz w:val="28"/>
          <w:szCs w:val="28"/>
        </w:rPr>
        <w:t>ă</w:t>
      </w:r>
      <w:r w:rsidRPr="00343860">
        <w:rPr>
          <w:rFonts w:ascii="Times New Roman" w:hAnsi="Times New Roman" w:cs="Times New Roman"/>
          <w:sz w:val="28"/>
          <w:szCs w:val="28"/>
        </w:rPr>
        <w:t xml:space="preserve"> de a investi în bunăstarea cetățenilor vulnerabili și de a crea o infrastructură durabilă de servicii sociale integrate.</w:t>
      </w:r>
    </w:p>
    <w:p w14:paraId="146C9C9A" w14:textId="77777777" w:rsidR="00D70EEB" w:rsidRDefault="00D70EEB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2D1282" w14:textId="40E43FAB" w:rsidR="00D70EEB" w:rsidRDefault="00D70EEB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Președinte de ședință:dacă nu sunt intervenții supun la vot proiectul de hotărâre în forma prezentată.</w:t>
      </w:r>
    </w:p>
    <w:p w14:paraId="0AEB0CBD" w14:textId="77777777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90DDA87" w14:textId="77777777" w:rsidR="00D70EEB" w:rsidRPr="00B62609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3854289" w14:textId="77777777" w:rsidR="00D70EEB" w:rsidRPr="00B62609" w:rsidRDefault="00D70EEB" w:rsidP="00D70E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Pentru  :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62609">
        <w:rPr>
          <w:rFonts w:ascii="Times New Roman" w:hAnsi="Times New Roman" w:cs="Times New Roman"/>
          <w:sz w:val="28"/>
          <w:szCs w:val="28"/>
        </w:rPr>
        <w:t xml:space="preserve"> (Bálint Barnabás Attila,Görgényi István , Krizsán Tibor,Magyari Tünde, Márton Sándor,Máthé Delinke,Moldovan Zsolt,Nagy Dalma-Imola,Nám Vilmos,Pécsi Domokos, Veres Gaspar Ervin.)</w:t>
      </w:r>
    </w:p>
    <w:p w14:paraId="0A566547" w14:textId="77777777" w:rsidR="00D70EEB" w:rsidRPr="00B62609" w:rsidRDefault="00D70EEB" w:rsidP="00D70E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Împotrivă:   0</w:t>
      </w:r>
    </w:p>
    <w:p w14:paraId="2F7810A9" w14:textId="77777777" w:rsidR="00D70EEB" w:rsidRPr="00B62609" w:rsidRDefault="00D70EEB" w:rsidP="00D70E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609">
        <w:rPr>
          <w:rFonts w:ascii="Times New Roman" w:hAnsi="Times New Roman" w:cs="Times New Roman"/>
          <w:sz w:val="28"/>
          <w:szCs w:val="28"/>
        </w:rPr>
        <w:t>Abţineri:      0</w:t>
      </w:r>
    </w:p>
    <w:p w14:paraId="2B5A41BC" w14:textId="2C240241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83D63A9" w14:textId="77777777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46318E68" w14:textId="77777777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88A0E75" w14:textId="77777777" w:rsidR="00D70EEB" w:rsidRPr="009A1CE9" w:rsidRDefault="00D70EEB" w:rsidP="00D70EE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1CE9">
        <w:rPr>
          <w:rFonts w:ascii="Times New Roman" w:hAnsi="Times New Roman" w:cs="Times New Roman"/>
          <w:sz w:val="28"/>
          <w:szCs w:val="28"/>
        </w:rPr>
        <w:t>Nefiind alte  intervenţi din partea  consilierilor ,preşedintele de şedinţă  mulţumeşte    pentru   participare ,considerând  încheiate   lucrările  şedinţei de azi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5963E4" w14:textId="77777777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759DCF3" w14:textId="77777777" w:rsidR="00D70EEB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D7E15D0" w14:textId="77777777" w:rsidR="00D70EEB" w:rsidRPr="009A1CE9" w:rsidRDefault="00D70EEB" w:rsidP="00D70EE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917CDF7" w14:textId="77777777" w:rsidR="00D70EEB" w:rsidRPr="009A1CE9" w:rsidRDefault="00D70EEB" w:rsidP="00D70EEB">
      <w:pPr>
        <w:pStyle w:val="NoSpacing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9A1CE9">
        <w:rPr>
          <w:rFonts w:ascii="Times New Roman" w:hAnsi="Times New Roman" w:cs="Times New Roman"/>
          <w:sz w:val="28"/>
          <w:szCs w:val="28"/>
        </w:rPr>
        <w:t>Preşedinte de şedinţă</w:t>
      </w:r>
    </w:p>
    <w:p w14:paraId="41454AE2" w14:textId="77777777" w:rsidR="00D70EEB" w:rsidRPr="008A4A86" w:rsidRDefault="00D70EEB" w:rsidP="00D70EEB">
      <w:pPr>
        <w:pStyle w:val="NoSpacing"/>
        <w:ind w:left="1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Nagy Dalma Imola</w:t>
      </w:r>
    </w:p>
    <w:p w14:paraId="1A5684E3" w14:textId="77777777" w:rsidR="00D70EEB" w:rsidRPr="009A1CE9" w:rsidRDefault="00D70EEB" w:rsidP="00D70EEB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A1CE9">
        <w:rPr>
          <w:rFonts w:ascii="Times New Roman" w:hAnsi="Times New Roman" w:cs="Times New Roman"/>
          <w:sz w:val="28"/>
          <w:szCs w:val="28"/>
        </w:rPr>
        <w:t xml:space="preserve">                                        Secretar general</w:t>
      </w:r>
    </w:p>
    <w:p w14:paraId="0434C891" w14:textId="77777777" w:rsidR="00D70EEB" w:rsidRPr="008A4A86" w:rsidRDefault="00D70EEB" w:rsidP="00D70EEB">
      <w:pPr>
        <w:pStyle w:val="NoSpacing"/>
        <w:ind w:left="2880" w:firstLine="720"/>
        <w:rPr>
          <w:rFonts w:ascii="Times New Roman" w:hAnsi="Times New Roman" w:cs="Times New Roman"/>
          <w:sz w:val="28"/>
          <w:szCs w:val="28"/>
        </w:rPr>
      </w:pPr>
      <w:r w:rsidRPr="009A1CE9">
        <w:rPr>
          <w:rFonts w:ascii="Times New Roman" w:hAnsi="Times New Roman" w:cs="Times New Roman"/>
          <w:sz w:val="28"/>
          <w:szCs w:val="28"/>
        </w:rPr>
        <w:t xml:space="preserve">                                           Jozsa Ferenc</w:t>
      </w:r>
    </w:p>
    <w:p w14:paraId="213F681E" w14:textId="77777777" w:rsidR="00D70EEB" w:rsidRPr="00343860" w:rsidRDefault="00D70EEB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803827" w14:textId="0333EEF4" w:rsidR="00343860" w:rsidRPr="00343860" w:rsidRDefault="00343860" w:rsidP="0034386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5740F" w14:textId="58CB8D98" w:rsidR="00F71BBB" w:rsidRPr="00343860" w:rsidRDefault="00F71BBB" w:rsidP="003438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6B174611" w14:textId="0CD96F0D" w:rsidR="00F71BBB" w:rsidRPr="00343860" w:rsidRDefault="00F71BBB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300E9A" w14:textId="77777777" w:rsidR="00F71BBB" w:rsidRPr="00343860" w:rsidRDefault="00F71BBB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F79FA" w14:textId="28C64E9B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0D4733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B18CD6" w14:textId="36269CFB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9FA970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A68E75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6FD84F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0CDB26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3175CC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7F12E8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B8EC42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7AD731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D2428C" w14:textId="77777777" w:rsidR="0050096E" w:rsidRPr="00343860" w:rsidRDefault="0050096E" w:rsidP="0034386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55B8C6" w14:textId="77777777" w:rsidR="0050096E" w:rsidRDefault="0050096E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AABBD7" w14:textId="77777777" w:rsidR="0050096E" w:rsidRDefault="0050096E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3F9B77" w14:textId="77777777" w:rsidR="0050096E" w:rsidRDefault="0050096E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0096E" w:rsidRPr="0050096E" w14:paraId="3B16224C" w14:textId="77777777" w:rsidTr="0050096E">
        <w:tc>
          <w:tcPr>
            <w:tcW w:w="0" w:type="auto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60"/>
            </w:tblGrid>
            <w:tr w:rsidR="0050096E" w:rsidRPr="0050096E" w14:paraId="75635BDD" w14:textId="77777777">
              <w:tc>
                <w:tcPr>
                  <w:tcW w:w="0" w:type="auto"/>
                  <w:tcMar>
                    <w:top w:w="180" w:type="dxa"/>
                    <w:left w:w="360" w:type="dxa"/>
                    <w:bottom w:w="180" w:type="dxa"/>
                    <w:right w:w="360" w:type="dxa"/>
                  </w:tcMar>
                  <w:vAlign w:val="center"/>
                </w:tcPr>
                <w:p w14:paraId="1EC7AF59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14:paraId="6D9EBD79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Perioada de implementare: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Ianuarie 2025 – Decembrie 2029</w:t>
                  </w:r>
                </w:p>
                <w:p w14:paraId="7DD7CA7B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Finanțare: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Programul Incluziune și Demnitate Socială 2021–2027 (Fondul Social European Plus)</w:t>
                  </w:r>
                </w:p>
                <w:p w14:paraId="5A7FD6E1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Valoare totală: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aprox. 815 milioane euro</w:t>
                  </w:r>
                </w:p>
              </w:tc>
            </w:tr>
          </w:tbl>
          <w:p w14:paraId="7FC81D39" w14:textId="77777777" w:rsidR="0050096E" w:rsidRPr="0050096E" w:rsidRDefault="0050096E" w:rsidP="0050096E">
            <w:pPr>
              <w:pStyle w:val="ListParagraph"/>
              <w:ind w:right="-46"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96E" w:rsidRPr="0050096E" w14:paraId="04EB25F9" w14:textId="77777777" w:rsidTr="0050096E">
        <w:tc>
          <w:tcPr>
            <w:tcW w:w="0" w:type="auto"/>
            <w:tcMar>
              <w:top w:w="270" w:type="dxa"/>
              <w:left w:w="360" w:type="dxa"/>
              <w:bottom w:w="270" w:type="dxa"/>
              <w:right w:w="360" w:type="dxa"/>
            </w:tcMar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5"/>
            </w:tblGrid>
            <w:tr w:rsidR="0050096E" w:rsidRPr="0050096E" w14:paraId="23867EB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B2E8A8F" w14:textId="201D3961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mc:AlternateContent>
                      <mc:Choice Requires="wps">
                        <w:drawing>
                          <wp:inline distT="0" distB="0" distL="0" distR="0" wp14:anchorId="758E6B5D" wp14:editId="6454B128">
                            <wp:extent cx="1376680" cy="514350"/>
                            <wp:effectExtent l="9525" t="9525" r="13970" b="9525"/>
                            <wp:docPr id="1755430091" name="Rectangle: Rounded Corners 2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6680" cy="514350"/>
                                    </a:xfrm>
                                    <a:prstGeom prst="roundRect">
                                      <a:avLst>
                                        <a:gd name="adj" fmla="val 35000"/>
                                      </a:avLst>
                                    </a:prstGeom>
                                    <a:solidFill>
                                      <a:srgbClr val="FF4015"/>
                                    </a:solidFill>
                                    <a:ln w="19050">
                                      <a:solidFill>
                                        <a:srgbClr val="B51A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C99E39" w14:textId="77777777" w:rsidR="0050096E" w:rsidRDefault="0050096E" w:rsidP="0050096E">
                                        <w:pPr>
                                          <w:jc w:val="center"/>
                                          <w:rPr>
                                            <w:rFonts w:ascii="Helvetica" w:eastAsia="Times New Roman" w:hAnsi="Helvetica"/>
                                            <w:color w:val="FFFFFF"/>
                                          </w:rPr>
                                        </w:pPr>
                                        <w:r>
                                          <w:rPr>
                                            <w:rFonts w:ascii="Helvetica" w:eastAsia="Times New Roman" w:hAnsi="Helvetica"/>
                                            <w:color w:val="FFFFFF"/>
                                          </w:rPr>
                                          <w:t xml:space="preserve">Sună acumi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oundrect w14:anchorId="758E6B5D" id="Rectangle: Rounded Corners 2" o:spid="_x0000_s1026" href="tel:0733470602" style="width:108.4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29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" o:button="t" fillcolor="#ff4015" strokecolor="#b51a00" strokeweight="1.5pt">
                            <v:fill o:detectmouseclick="t"/>
                            <v:textbox>
                              <w:txbxContent>
                                <w:p w14:paraId="31C99E39" w14:textId="77777777" w:rsidR="0050096E" w:rsidRDefault="0050096E" w:rsidP="0050096E">
                                  <w:pPr>
                                    <w:jc w:val="center"/>
                                    <w:rPr>
                                      <w:rFonts w:ascii="Helvetica" w:eastAsia="Times New Roman" w:hAnsi="Helvetica"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rFonts w:ascii="Helvetica" w:eastAsia="Times New Roman" w:hAnsi="Helvetica"/>
                                      <w:color w:val="FFFFFF"/>
                                    </w:rPr>
                                    <w:t xml:space="preserve">Sună acumi </w:t>
                                  </w:r>
                                </w:p>
                              </w:txbxContent>
                            </v:textbox>
                            <w10:anchorlock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 w14:paraId="79B737F8" w14:textId="77777777" w:rsidR="0050096E" w:rsidRPr="0050096E" w:rsidRDefault="0050096E" w:rsidP="0050096E">
            <w:pPr>
              <w:pStyle w:val="ListParagraph"/>
              <w:ind w:right="-46"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0096E" w:rsidRPr="0050096E" w14:paraId="682DD7CA" w14:textId="77777777" w:rsidTr="0050096E">
        <w:tc>
          <w:tcPr>
            <w:tcW w:w="0" w:type="auto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60"/>
            </w:tblGrid>
            <w:tr w:rsidR="0050096E" w:rsidRPr="0050096E" w14:paraId="6569DCB8" w14:textId="77777777">
              <w:tc>
                <w:tcPr>
                  <w:tcW w:w="0" w:type="auto"/>
                  <w:tcMar>
                    <w:top w:w="180" w:type="dxa"/>
                    <w:left w:w="360" w:type="dxa"/>
                    <w:bottom w:w="180" w:type="dxa"/>
                    <w:right w:w="360" w:type="dxa"/>
                  </w:tcMar>
                  <w:vAlign w:val="center"/>
                  <w:hideMark/>
                </w:tcPr>
                <w:p w14:paraId="4C1C851E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1. SCOPUL PROIECTULUI</w:t>
                  </w:r>
                </w:p>
                <w:p w14:paraId="7D2BAA8F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Sprijinirea a 2.000 de comune din România pentru înființarea de echipe comunitare integrate (ECI), care vor oferi servicii sociale, educaționale și medicale în sprijinul persoanelor vulnerabile.</w:t>
                  </w:r>
                </w:p>
                <w:p w14:paraId="0F3B27EA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3894851C">
                      <v:rect id="_x0000_i1073" style="width:468pt;height:1.5pt" o:hralign="center" o:hrstd="t" o:hr="t" fillcolor="#a0a0a0" stroked="f"/>
                    </w:pict>
                  </w:r>
                </w:p>
                <w:p w14:paraId="6B76E823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 DE CE SĂ PARTICIPE COMUNA DUMNEAVOASTRĂ?</w:t>
                  </w:r>
                </w:p>
                <w:p w14:paraId="4BB48664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Acces la fonduri nerambursabile de peste 1 milion lei/UAT</w:t>
                  </w:r>
                </w:p>
                <w:p w14:paraId="679497F2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Dotarea cu echipamente IT, mobilier, kituri profesionale</w:t>
                  </w:r>
                </w:p>
                <w:p w14:paraId="4A961527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Modernizarea spațiilor în care activează specialiștii</w:t>
                  </w:r>
                </w:p>
                <w:p w14:paraId="7AB644C4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Angajarea de specialiști: asistent social, asistent medical comunitar, consilier școlar etc.</w:t>
                  </w:r>
                </w:p>
                <w:p w14:paraId="3D791DF9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Intervenții directe în comunitate (reparații locuințe, pachete alimentare, consiliere, sprijin pentru ocupare)</w:t>
                  </w:r>
                </w:p>
                <w:p w14:paraId="6A7F9C37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1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Creșterea calității vieții și incluziunii sociale</w:t>
                  </w:r>
                </w:p>
                <w:p w14:paraId="3C98E41D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34C3651B">
                      <v:rect id="_x0000_i1074" style="width:468pt;height:1.5pt" o:hralign="center" o:hrstd="t" o:hr="t" fillcolor="#a0a0a0" stroked="f"/>
                    </w:pict>
                  </w:r>
                </w:p>
                <w:p w14:paraId="50740939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3. CINE POATE APLICA?</w:t>
                  </w:r>
                </w:p>
                <w:p w14:paraId="0E929DA3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Doar UAT-urile din mediul rural (comune) care:</w:t>
                  </w:r>
                </w:p>
                <w:p w14:paraId="29B62619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2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Nu sunt sancționate pentru nerespectarea contractelor anterioare</w:t>
                  </w:r>
                </w:p>
                <w:p w14:paraId="4BE0432E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2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Aprobă prin HCL participarea în proiect și asumarea contribuțiilor</w:t>
                  </w:r>
                </w:p>
                <w:p w14:paraId="757E1B17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2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Dispun de un spațiu pentru desfășurarea activității ECI</w:t>
                  </w:r>
                </w:p>
                <w:p w14:paraId="01E24A54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470A7FCB">
                      <v:rect id="_x0000_i1075" style="width:468pt;height:1.5pt" o:hralign="center" o:hrstd="t" o:hr="t" fillcolor="#a0a0a0" stroked="f"/>
                    </w:pict>
                  </w:r>
                </w:p>
                <w:p w14:paraId="614A2D7D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4. CE TREBUIE FĂCUT?</w:t>
                  </w:r>
                </w:p>
                <w:p w14:paraId="75BFFE5C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3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Hotărâre de Consiliu Local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privind participarea în proiect</w:t>
                  </w:r>
                </w:p>
                <w:p w14:paraId="618DFA1E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3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Scrisoare de intenție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model standard</w:t>
                  </w:r>
                </w:p>
                <w:p w14:paraId="1EC143EA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3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Declarație de eligibilitate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model standard</w:t>
                  </w:r>
                </w:p>
                <w:p w14:paraId="77573AE0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3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Protocol de colaborare</w:t>
                  </w: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– semnat și transmis</w:t>
                  </w:r>
                </w:p>
                <w:p w14:paraId="687A9F87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Documentele se trimit la AJPIS județean și pe e-mail conform instrucțiunilor din anunțul oficial.</w:t>
                  </w:r>
                </w:p>
                <w:p w14:paraId="4346FD7F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78D5776B">
                      <v:rect id="_x0000_i1076" style="width:468pt;height:1.5pt" o:hralign="center" o:hrstd="t" o:hr="t" fillcolor="#a0a0a0" stroked="f"/>
                    </w:pict>
                  </w:r>
                </w:p>
                <w:p w14:paraId="1577C9DB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5. CE SE FINANȚEAZĂ?</w:t>
                  </w:r>
                </w:p>
                <w:p w14:paraId="2F878C6F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4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Amenajare și dotare spațiu echipă integrată (48.000 lei/UAT)</w:t>
                  </w:r>
                </w:p>
                <w:p w14:paraId="7E2348CD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4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Salarii specialiști pentru toată perioada proiectului (până la 914.000 lei/UAT)</w:t>
                  </w:r>
                </w:p>
                <w:p w14:paraId="2AACCF71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4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Echipamente IT și profesionale (50.000 lei/UAT)</w:t>
                  </w:r>
                </w:p>
                <w:p w14:paraId="429EFC57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4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Sprijin pentru persoane vulnerabile (locuințe: 500.000 lei, alimente: 248.000 lei/UAT)</w:t>
                  </w:r>
                </w:p>
                <w:p w14:paraId="68436AB9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30533A8F">
                      <v:rect id="_x0000_i1077" style="width:468pt;height:1.5pt" o:hralign="center" o:hrstd="t" o:hr="t" fillcolor="#a0a0a0" stroked="f"/>
                    </w:pict>
                  </w:r>
                </w:p>
                <w:p w14:paraId="7D62223B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6. SUSTENABILITATE</w:t>
                  </w:r>
                </w:p>
                <w:p w14:paraId="38C82845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Primăriile participante se angajează să mențină echipa comunitară funcțională timp de 5 ani după finalizarea proiectului (2030–2034).</w:t>
                  </w:r>
                </w:p>
                <w:p w14:paraId="71BDBC33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03FA4F01">
                      <v:rect id="_x0000_i1078" style="width:468pt;height:1.5pt" o:hralign="center" o:hrstd="t" o:hr="t" fillcolor="#a0a0a0" stroked="f"/>
                    </w:pict>
                  </w:r>
                </w:p>
                <w:p w14:paraId="16E9E844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7. SUPORT ȘI SUPRAVEGHERE</w:t>
                  </w:r>
                </w:p>
                <w:p w14:paraId="2680365F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5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Sprijin permanent din partea Unității Județene de Suport și Supervizare (UJSS)</w:t>
                  </w:r>
                </w:p>
                <w:p w14:paraId="1FB2A0CC" w14:textId="77777777" w:rsidR="0050096E" w:rsidRPr="0050096E" w:rsidRDefault="0050096E" w:rsidP="0050096E">
                  <w:pPr>
                    <w:pStyle w:val="ListParagraph"/>
                    <w:numPr>
                      <w:ilvl w:val="0"/>
                      <w:numId w:val="5"/>
                    </w:numPr>
                    <w:ind w:right="-46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Instruiri, proceduri standardizate, platformă online națională</w:t>
                  </w:r>
                </w:p>
                <w:p w14:paraId="22CF7420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pict w14:anchorId="34B57EAE">
                      <v:rect id="_x0000_i1079" style="width:468pt;height:1.5pt" o:hralign="center" o:hrstd="t" o:hr="t" fillcolor="#a0a0a0" stroked="f"/>
                    </w:pict>
                  </w:r>
                </w:p>
                <w:p w14:paraId="0BA6A414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8. CONCLUZIE</w:t>
                  </w:r>
                </w:p>
                <w:p w14:paraId="12F14C70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Participarea în proiectul SCI 2000 este o oportunitate unică pentru comunele din România de a investi în bunăstarea cetățenilor vulnerabili și de a crea o infrastructură durabilă de servicii sociale integrate.</w:t>
                  </w:r>
                </w:p>
                <w:p w14:paraId="4E0E2EDE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Înscrierea este NON-COMPETITIVĂ și se face în ordinea depunerii documentelor.</w:t>
                  </w:r>
                </w:p>
                <w:p w14:paraId="1128CDBF" w14:textId="77777777" w:rsidR="0050096E" w:rsidRPr="0050096E" w:rsidRDefault="0050096E" w:rsidP="0050096E">
                  <w:pPr>
                    <w:pStyle w:val="ListParagraph"/>
                    <w:ind w:right="-46" w:firstLine="36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0096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Pentru sprijin în redactarea documentelor, vă stăm la dispoziție.</w:t>
                  </w:r>
                </w:p>
              </w:tc>
            </w:tr>
          </w:tbl>
          <w:p w14:paraId="294571DC" w14:textId="77777777" w:rsidR="0050096E" w:rsidRPr="0050096E" w:rsidRDefault="0050096E" w:rsidP="0050096E">
            <w:pPr>
              <w:pStyle w:val="ListParagraph"/>
              <w:ind w:right="-46" w:firstLine="36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80AA098" w14:textId="77777777" w:rsidR="0050096E" w:rsidRDefault="0050096E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51C8B4" w14:textId="77777777" w:rsidR="0050096E" w:rsidRPr="000A5694" w:rsidRDefault="0050096E" w:rsidP="000A5694">
      <w:pPr>
        <w:pStyle w:val="ListParagraph"/>
        <w:ind w:left="0" w:right="-46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B656C9" w14:textId="6441957D" w:rsidR="000A5694" w:rsidRPr="000A5694" w:rsidRDefault="000A5694" w:rsidP="00B6260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0A5694" w:rsidRPr="000A5694" w:rsidSect="00B62609">
      <w:pgSz w:w="12240" w:h="15840"/>
      <w:pgMar w:top="28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354"/>
    <w:multiLevelType w:val="multilevel"/>
    <w:tmpl w:val="010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54D4"/>
    <w:multiLevelType w:val="multilevel"/>
    <w:tmpl w:val="3FF6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8052A"/>
    <w:multiLevelType w:val="multilevel"/>
    <w:tmpl w:val="8E967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69AB"/>
    <w:multiLevelType w:val="multilevel"/>
    <w:tmpl w:val="0A9C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B08E2"/>
    <w:multiLevelType w:val="multilevel"/>
    <w:tmpl w:val="D9C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91155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9572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38125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97408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855406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09"/>
    <w:rsid w:val="00000A76"/>
    <w:rsid w:val="000A5694"/>
    <w:rsid w:val="00252338"/>
    <w:rsid w:val="00275E6B"/>
    <w:rsid w:val="00310E78"/>
    <w:rsid w:val="00343860"/>
    <w:rsid w:val="003F3A88"/>
    <w:rsid w:val="004F01DE"/>
    <w:rsid w:val="0050096E"/>
    <w:rsid w:val="005D0335"/>
    <w:rsid w:val="007770DA"/>
    <w:rsid w:val="00860D33"/>
    <w:rsid w:val="008B45E9"/>
    <w:rsid w:val="00972B68"/>
    <w:rsid w:val="009B3D46"/>
    <w:rsid w:val="009C32BF"/>
    <w:rsid w:val="00B62609"/>
    <w:rsid w:val="00BD45FB"/>
    <w:rsid w:val="00D70EEB"/>
    <w:rsid w:val="00E30826"/>
    <w:rsid w:val="00F71BBB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008B3"/>
  <w15:chartTrackingRefBased/>
  <w15:docId w15:val="{E23FF00B-7240-47EE-83E5-C7E6181E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6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6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6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6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6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260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6260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0A56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A569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mcepastedcontent1">
    <w:name w:val="mcepastedcontent1"/>
    <w:basedOn w:val="Normal"/>
    <w:rsid w:val="00F71BBB"/>
    <w:pPr>
      <w:spacing w:after="0" w:line="360" w:lineRule="auto"/>
    </w:pPr>
    <w:rPr>
      <w:rFonts w:ascii="Helvetica" w:hAnsi="Helvetica" w:cs="Times New Roman"/>
      <w:color w:val="000000"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71BBB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D7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733470602" TargetMode="External"/><Relationship Id="rId5" Type="http://schemas.openxmlformats.org/officeDocument/2006/relationships/hyperlink" Target="http://www.acatari.r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1120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16</cp:revision>
  <dcterms:created xsi:type="dcterms:W3CDTF">2025-04-07T07:31:00Z</dcterms:created>
  <dcterms:modified xsi:type="dcterms:W3CDTF">2025-04-07T09:17:00Z</dcterms:modified>
</cp:coreProperties>
</file>