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0CEBC34E"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4040D0">
        <w:rPr>
          <w:rFonts w:ascii="Times New Roman" w:hAnsi="Times New Roman"/>
          <w:b/>
          <w:bCs/>
          <w:i/>
          <w:iCs/>
          <w:sz w:val="24"/>
          <w:szCs w:val="24"/>
          <w:lang w:val="it-IT"/>
        </w:rPr>
        <w:t>Cătina</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4040D0">
        <w:rPr>
          <w:rFonts w:ascii="Times New Roman" w:hAnsi="Times New Roman"/>
          <w:b/>
          <w:bCs/>
          <w:i/>
          <w:iCs/>
          <w:sz w:val="24"/>
          <w:szCs w:val="24"/>
          <w:lang w:val="it-IT"/>
        </w:rPr>
        <w:t>Cluj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fldChar w:fldCharType="begin"/>
      </w:r>
      <w:r w:rsidRPr="004040D0">
        <w:rPr>
          <w:lang w:val="es-ES_tradnl"/>
        </w:rPr>
        <w:instrText>HYPERLINK "http://www.monitorulcontractelor.datagov.ro"</w:instrText>
      </w:r>
      <w:r>
        <w:fldChar w:fldCharType="separate"/>
      </w:r>
      <w:r w:rsidRPr="00B76CD4">
        <w:rPr>
          <w:rFonts w:ascii="Times New Roman" w:hAnsi="Times New Roman"/>
          <w:color w:val="16CFC1"/>
          <w:lang w:val="it-IT"/>
        </w:rPr>
        <w:t>www.monitorulcontractelor.datagov.ro</w:t>
      </w:r>
      <w:r>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fldChar w:fldCharType="begin"/>
      </w:r>
      <w:r w:rsidRPr="004040D0">
        <w:rPr>
          <w:lang w:val="es-ES_tradnl"/>
        </w:rPr>
        <w:instrText>HYPERLINK "http://www.monitorulcontractelor.datagov.ro"</w:instrText>
      </w:r>
      <w:r>
        <w:fldChar w:fldCharType="separate"/>
      </w:r>
      <w:r w:rsidRPr="00B76CD4">
        <w:rPr>
          <w:rFonts w:ascii="Times New Roman" w:hAnsi="Times New Roman"/>
          <w:color w:val="16CFC1"/>
          <w:lang w:val="pt-BR"/>
        </w:rPr>
        <w:t>www.monitorulcontractelor.datagov.ro</w:t>
      </w:r>
      <w:r>
        <w:fldChar w:fldCharType="end"/>
      </w:r>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E1A8" w14:textId="77777777" w:rsidR="00F617BB" w:rsidRDefault="00F617BB" w:rsidP="000F48D6">
      <w:pPr>
        <w:spacing w:after="0" w:line="240" w:lineRule="auto"/>
      </w:pPr>
      <w:r>
        <w:separator/>
      </w:r>
    </w:p>
  </w:endnote>
  <w:endnote w:type="continuationSeparator" w:id="0">
    <w:p w14:paraId="494453E3" w14:textId="77777777" w:rsidR="00F617BB" w:rsidRDefault="00F617B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3BBF" w14:textId="77777777" w:rsidR="00F617BB" w:rsidRDefault="00F617BB" w:rsidP="000F48D6">
      <w:pPr>
        <w:spacing w:after="0" w:line="240" w:lineRule="auto"/>
      </w:pPr>
      <w:r>
        <w:separator/>
      </w:r>
    </w:p>
  </w:footnote>
  <w:footnote w:type="continuationSeparator" w:id="0">
    <w:p w14:paraId="383E811E" w14:textId="77777777" w:rsidR="00F617BB" w:rsidRDefault="00F617B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0D0"/>
    <w:rsid w:val="00404145"/>
    <w:rsid w:val="0040447F"/>
    <w:rsid w:val="004056C8"/>
    <w:rsid w:val="00406F28"/>
    <w:rsid w:val="00407AAE"/>
    <w:rsid w:val="00410143"/>
    <w:rsid w:val="004114C6"/>
    <w:rsid w:val="00411CA0"/>
    <w:rsid w:val="00416B3D"/>
    <w:rsid w:val="00417689"/>
    <w:rsid w:val="004223DD"/>
    <w:rsid w:val="00422463"/>
    <w:rsid w:val="0042395A"/>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11E0"/>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17BB"/>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6123</Words>
  <Characters>34903</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11</cp:revision>
  <cp:lastPrinted>2017-09-21T18:32:00Z</cp:lastPrinted>
  <dcterms:created xsi:type="dcterms:W3CDTF">2024-10-29T19:04:00Z</dcterms:created>
  <dcterms:modified xsi:type="dcterms:W3CDTF">2025-07-29T12:46:00Z</dcterms:modified>
</cp:coreProperties>
</file>